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C5BC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449ADA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92052">
                              <w:rPr>
                                <w:rFonts w:asciiTheme="majorHAnsi" w:hAnsiTheme="majorHAnsi" w:cs="Arial"/>
                                <w:b/>
                                <w:bCs/>
                                <w:color w:val="0D0D0D" w:themeColor="text1" w:themeTint="F2"/>
                                <w:sz w:val="36"/>
                                <w:szCs w:val="22"/>
                                <w:lang w:val="es-ES_tradnl"/>
                              </w:rPr>
                              <w:t>62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11103">
                              <w:rPr>
                                <w:rFonts w:asciiTheme="majorHAnsi" w:hAnsiTheme="majorHAnsi" w:cs="Arial"/>
                                <w:b/>
                                <w:bCs/>
                                <w:color w:val="0D0D0D" w:themeColor="text1" w:themeTint="F2"/>
                                <w:sz w:val="36"/>
                                <w:szCs w:val="22"/>
                                <w:lang w:val="es-ES_tradnl"/>
                              </w:rPr>
                              <w:t>2</w:t>
                            </w:r>
                          </w:p>
                          <w:p w14:paraId="09C54AB3" w14:textId="0FCBFF0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457C0">
                              <w:rPr>
                                <w:rFonts w:asciiTheme="majorHAnsi" w:hAnsiTheme="majorHAnsi" w:cs="Arial"/>
                                <w:b/>
                                <w:color w:val="0D0D0D" w:themeColor="text1" w:themeTint="F2"/>
                                <w:sz w:val="36"/>
                                <w:szCs w:val="22"/>
                                <w:lang w:val="es-ES_tradnl"/>
                              </w:rPr>
                              <w:t>1096</w:t>
                            </w:r>
                            <w:r w:rsidR="00246D1F" w:rsidRPr="004E2649">
                              <w:rPr>
                                <w:rFonts w:asciiTheme="majorHAnsi" w:hAnsiTheme="majorHAnsi" w:cs="Arial"/>
                                <w:b/>
                                <w:color w:val="0D0D0D" w:themeColor="text1" w:themeTint="F2"/>
                                <w:sz w:val="36"/>
                                <w:szCs w:val="22"/>
                                <w:lang w:val="es-ES_tradnl"/>
                              </w:rPr>
                              <w:t>-</w:t>
                            </w:r>
                            <w:r w:rsidR="003457C0">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184666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301C86A0" w14:textId="2362BDE7" w:rsidR="008C68D9" w:rsidRDefault="003457C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JULIO CARRIZOSA MUTIS Y </w:t>
                            </w:r>
                            <w:bookmarkEnd w:id="0"/>
                            <w:r w:rsidR="008C68D9">
                              <w:rPr>
                                <w:rFonts w:asciiTheme="majorHAnsi" w:hAnsiTheme="majorHAnsi" w:cs="Arial"/>
                                <w:color w:val="0D0D0D" w:themeColor="text1" w:themeTint="F2"/>
                                <w:szCs w:val="22"/>
                                <w:lang w:val="es-ES_tradnl"/>
                              </w:rPr>
                              <w:t>FAMILIA</w:t>
                            </w:r>
                            <w:r w:rsidR="008D7EF5">
                              <w:rPr>
                                <w:rFonts w:asciiTheme="majorHAnsi" w:hAnsiTheme="majorHAnsi" w:cs="Arial"/>
                                <w:color w:val="0D0D0D" w:themeColor="text1" w:themeTint="F2"/>
                                <w:szCs w:val="22"/>
                                <w:lang w:val="es-ES_tradnl"/>
                              </w:rPr>
                              <w:t xml:space="preserve"> </w:t>
                            </w:r>
                          </w:p>
                          <w:p w14:paraId="1E1C1A04" w14:textId="0CA59711" w:rsidR="00F2225B" w:rsidRDefault="00F2225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t>
                            </w:r>
                            <w:r w:rsidR="005F3B5D">
                              <w:rPr>
                                <w:rFonts w:asciiTheme="majorHAnsi" w:hAnsiTheme="majorHAnsi" w:cs="Arial"/>
                                <w:color w:val="0D0D0D" w:themeColor="text1" w:themeTint="F2"/>
                                <w:szCs w:val="22"/>
                                <w:lang w:val="es-ES_tradnl"/>
                              </w:rPr>
                              <w:t>CORPORACIÓN GRANCOLOMBIANA DE AHORRO Y VIVIENDA</w:t>
                            </w:r>
                            <w:r>
                              <w:rPr>
                                <w:rFonts w:asciiTheme="majorHAnsi" w:hAnsiTheme="majorHAnsi" w:cs="Arial"/>
                                <w:color w:val="0D0D0D" w:themeColor="text1" w:themeTint="F2"/>
                                <w:szCs w:val="22"/>
                                <w:lang w:val="es-ES_tradnl"/>
                              </w:rPr>
                              <w:t>)</w:t>
                            </w:r>
                          </w:p>
                          <w:p w14:paraId="35068D0D" w14:textId="4E0E38E7" w:rsidR="005B52B0" w:rsidRPr="0010736F" w:rsidRDefault="003457C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6449ADA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92052">
                        <w:rPr>
                          <w:rFonts w:asciiTheme="majorHAnsi" w:hAnsiTheme="majorHAnsi" w:cs="Arial"/>
                          <w:b/>
                          <w:bCs/>
                          <w:color w:val="0D0D0D" w:themeColor="text1" w:themeTint="F2"/>
                          <w:sz w:val="36"/>
                          <w:szCs w:val="22"/>
                          <w:lang w:val="es-ES_tradnl"/>
                        </w:rPr>
                        <w:t>62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11103">
                        <w:rPr>
                          <w:rFonts w:asciiTheme="majorHAnsi" w:hAnsiTheme="majorHAnsi" w:cs="Arial"/>
                          <w:b/>
                          <w:bCs/>
                          <w:color w:val="0D0D0D" w:themeColor="text1" w:themeTint="F2"/>
                          <w:sz w:val="36"/>
                          <w:szCs w:val="22"/>
                          <w:lang w:val="es-ES_tradnl"/>
                        </w:rPr>
                        <w:t>2</w:t>
                      </w:r>
                    </w:p>
                    <w:p w14:paraId="09C54AB3" w14:textId="0FCBFF0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457C0">
                        <w:rPr>
                          <w:rFonts w:asciiTheme="majorHAnsi" w:hAnsiTheme="majorHAnsi" w:cs="Arial"/>
                          <w:b/>
                          <w:color w:val="0D0D0D" w:themeColor="text1" w:themeTint="F2"/>
                          <w:sz w:val="36"/>
                          <w:szCs w:val="22"/>
                          <w:lang w:val="es-ES_tradnl"/>
                        </w:rPr>
                        <w:t>1096</w:t>
                      </w:r>
                      <w:r w:rsidR="00246D1F" w:rsidRPr="004E2649">
                        <w:rPr>
                          <w:rFonts w:asciiTheme="majorHAnsi" w:hAnsiTheme="majorHAnsi" w:cs="Arial"/>
                          <w:b/>
                          <w:color w:val="0D0D0D" w:themeColor="text1" w:themeTint="F2"/>
                          <w:sz w:val="36"/>
                          <w:szCs w:val="22"/>
                          <w:lang w:val="es-ES_tradnl"/>
                        </w:rPr>
                        <w:t>-</w:t>
                      </w:r>
                      <w:r w:rsidR="003457C0">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184666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01C86A0" w14:textId="2362BDE7" w:rsidR="008C68D9" w:rsidRDefault="003457C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JULIO CARRIZOSA MUTIS Y </w:t>
                      </w:r>
                      <w:bookmarkEnd w:id="1"/>
                      <w:r w:rsidR="008C68D9">
                        <w:rPr>
                          <w:rFonts w:asciiTheme="majorHAnsi" w:hAnsiTheme="majorHAnsi" w:cs="Arial"/>
                          <w:color w:val="0D0D0D" w:themeColor="text1" w:themeTint="F2"/>
                          <w:szCs w:val="22"/>
                          <w:lang w:val="es-ES_tradnl"/>
                        </w:rPr>
                        <w:t>FAMILIA</w:t>
                      </w:r>
                      <w:r w:rsidR="008D7EF5">
                        <w:rPr>
                          <w:rFonts w:asciiTheme="majorHAnsi" w:hAnsiTheme="majorHAnsi" w:cs="Arial"/>
                          <w:color w:val="0D0D0D" w:themeColor="text1" w:themeTint="F2"/>
                          <w:szCs w:val="22"/>
                          <w:lang w:val="es-ES_tradnl"/>
                        </w:rPr>
                        <w:t xml:space="preserve"> </w:t>
                      </w:r>
                    </w:p>
                    <w:p w14:paraId="1E1C1A04" w14:textId="0CA59711" w:rsidR="00F2225B" w:rsidRDefault="00F2225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t>
                      </w:r>
                      <w:r w:rsidR="005F3B5D">
                        <w:rPr>
                          <w:rFonts w:asciiTheme="majorHAnsi" w:hAnsiTheme="majorHAnsi" w:cs="Arial"/>
                          <w:color w:val="0D0D0D" w:themeColor="text1" w:themeTint="F2"/>
                          <w:szCs w:val="22"/>
                          <w:lang w:val="es-ES_tradnl"/>
                        </w:rPr>
                        <w:t>CORPORACIÓN GRANCOLOMBIANA DE AHORRO Y VIVIENDA</w:t>
                      </w:r>
                      <w:r>
                        <w:rPr>
                          <w:rFonts w:asciiTheme="majorHAnsi" w:hAnsiTheme="majorHAnsi" w:cs="Arial"/>
                          <w:color w:val="0D0D0D" w:themeColor="text1" w:themeTint="F2"/>
                          <w:szCs w:val="22"/>
                          <w:lang w:val="es-ES_tradnl"/>
                        </w:rPr>
                        <w:t>)</w:t>
                      </w:r>
                    </w:p>
                    <w:p w14:paraId="35068D0D" w14:textId="4E0E38E7" w:rsidR="005B52B0" w:rsidRPr="0010736F" w:rsidRDefault="003457C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C24A398" w:rsidR="00627C9F" w:rsidRPr="00284522" w:rsidRDefault="00834D49" w:rsidP="007A5817">
                            <w:pPr>
                              <w:spacing w:line="276" w:lineRule="auto"/>
                              <w:jc w:val="right"/>
                              <w:rPr>
                                <w:rFonts w:asciiTheme="minorHAnsi" w:hAnsiTheme="minorHAnsi"/>
                                <w:color w:val="FFFFFF" w:themeColor="background1"/>
                                <w:sz w:val="22"/>
                                <w:lang w:val="es-AR"/>
                              </w:rPr>
                            </w:pPr>
                            <w:r w:rsidRPr="00284522">
                              <w:rPr>
                                <w:rFonts w:asciiTheme="minorHAnsi" w:hAnsiTheme="minorHAnsi"/>
                                <w:color w:val="FFFFFF" w:themeColor="background1"/>
                                <w:sz w:val="22"/>
                                <w:lang w:val="es-AR"/>
                              </w:rPr>
                              <w:t>OEA/Ser.L/V/II</w:t>
                            </w:r>
                          </w:p>
                          <w:p w14:paraId="6A41611B" w14:textId="1EB62495" w:rsidR="00627C9F" w:rsidRPr="00284522" w:rsidRDefault="00627C9F" w:rsidP="007A5817">
                            <w:pPr>
                              <w:spacing w:line="276" w:lineRule="auto"/>
                              <w:jc w:val="right"/>
                              <w:rPr>
                                <w:rFonts w:asciiTheme="minorHAnsi" w:hAnsiTheme="minorHAnsi"/>
                                <w:color w:val="FFFFFF" w:themeColor="background1"/>
                                <w:sz w:val="22"/>
                                <w:lang w:val="es-AR"/>
                              </w:rPr>
                            </w:pPr>
                            <w:r w:rsidRPr="00284522">
                              <w:rPr>
                                <w:rFonts w:asciiTheme="minorHAnsi" w:hAnsiTheme="minorHAnsi"/>
                                <w:color w:val="FFFFFF" w:themeColor="background1"/>
                                <w:sz w:val="22"/>
                                <w:lang w:val="es-AR"/>
                              </w:rPr>
                              <w:t xml:space="preserve">Doc. </w:t>
                            </w:r>
                            <w:r w:rsidR="005F3B5D" w:rsidRPr="00284522">
                              <w:rPr>
                                <w:rFonts w:asciiTheme="minorHAnsi" w:hAnsiTheme="minorHAnsi"/>
                                <w:color w:val="FFFFFF" w:themeColor="background1"/>
                                <w:sz w:val="22"/>
                                <w:lang w:val="es-AR"/>
                              </w:rPr>
                              <w:t>65</w:t>
                            </w:r>
                          </w:p>
                          <w:p w14:paraId="69373ED2" w14:textId="303967C9" w:rsidR="00627C9F" w:rsidRPr="00C25ADB" w:rsidRDefault="005F3B5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marzo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3C24A398" w:rsidR="00627C9F" w:rsidRPr="00284522" w:rsidRDefault="00834D49" w:rsidP="007A5817">
                      <w:pPr>
                        <w:spacing w:line="276" w:lineRule="auto"/>
                        <w:jc w:val="right"/>
                        <w:rPr>
                          <w:rFonts w:asciiTheme="minorHAnsi" w:hAnsiTheme="minorHAnsi"/>
                          <w:color w:val="FFFFFF" w:themeColor="background1"/>
                          <w:sz w:val="22"/>
                          <w:lang w:val="es-AR"/>
                        </w:rPr>
                      </w:pPr>
                      <w:r w:rsidRPr="00284522">
                        <w:rPr>
                          <w:rFonts w:asciiTheme="minorHAnsi" w:hAnsiTheme="minorHAnsi"/>
                          <w:color w:val="FFFFFF" w:themeColor="background1"/>
                          <w:sz w:val="22"/>
                          <w:lang w:val="es-AR"/>
                        </w:rPr>
                        <w:t>OEA/Ser.L/V/II</w:t>
                      </w:r>
                    </w:p>
                    <w:p w14:paraId="6A41611B" w14:textId="1EB62495" w:rsidR="00627C9F" w:rsidRPr="00284522" w:rsidRDefault="00627C9F" w:rsidP="007A5817">
                      <w:pPr>
                        <w:spacing w:line="276" w:lineRule="auto"/>
                        <w:jc w:val="right"/>
                        <w:rPr>
                          <w:rFonts w:asciiTheme="minorHAnsi" w:hAnsiTheme="minorHAnsi"/>
                          <w:color w:val="FFFFFF" w:themeColor="background1"/>
                          <w:sz w:val="22"/>
                          <w:lang w:val="es-AR"/>
                        </w:rPr>
                      </w:pPr>
                      <w:r w:rsidRPr="00284522">
                        <w:rPr>
                          <w:rFonts w:asciiTheme="minorHAnsi" w:hAnsiTheme="minorHAnsi"/>
                          <w:color w:val="FFFFFF" w:themeColor="background1"/>
                          <w:sz w:val="22"/>
                          <w:lang w:val="es-AR"/>
                        </w:rPr>
                        <w:t xml:space="preserve">Doc. </w:t>
                      </w:r>
                      <w:r w:rsidR="005F3B5D" w:rsidRPr="00284522">
                        <w:rPr>
                          <w:rFonts w:asciiTheme="minorHAnsi" w:hAnsiTheme="minorHAnsi"/>
                          <w:color w:val="FFFFFF" w:themeColor="background1"/>
                          <w:sz w:val="22"/>
                          <w:lang w:val="es-AR"/>
                        </w:rPr>
                        <w:t>65</w:t>
                      </w:r>
                    </w:p>
                    <w:p w14:paraId="69373ED2" w14:textId="303967C9" w:rsidR="00627C9F" w:rsidRPr="00C25ADB" w:rsidRDefault="005F3B5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marzo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07944D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92DFF">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392DFF">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92DFF">
                              <w:rPr>
                                <w:rFonts w:asciiTheme="majorHAnsi" w:hAnsiTheme="majorHAnsi"/>
                                <w:color w:val="0D0D0D" w:themeColor="text1" w:themeTint="F2"/>
                                <w:sz w:val="18"/>
                                <w:szCs w:val="22"/>
                                <w:lang w:val="es-ES"/>
                              </w:rPr>
                              <w:t>2.</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107944D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92DFF">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392DFF">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92DFF">
                        <w:rPr>
                          <w:rFonts w:asciiTheme="majorHAnsi" w:hAnsiTheme="majorHAnsi"/>
                          <w:color w:val="0D0D0D" w:themeColor="text1" w:themeTint="F2"/>
                          <w:sz w:val="18"/>
                          <w:szCs w:val="22"/>
                          <w:lang w:val="es-ES"/>
                        </w:rPr>
                        <w:t>2.</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3376D3E9">
                <wp:simplePos x="0" y="0"/>
                <wp:positionH relativeFrom="column">
                  <wp:posOffset>1333500</wp:posOffset>
                </wp:positionH>
                <wp:positionV relativeFrom="paragraph">
                  <wp:posOffset>3901</wp:posOffset>
                </wp:positionV>
                <wp:extent cx="5110843"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10843"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60F271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11103" w:rsidRPr="00A11103">
                              <w:rPr>
                                <w:rFonts w:asciiTheme="majorHAnsi" w:hAnsiTheme="majorHAnsi"/>
                                <w:color w:val="595959" w:themeColor="text1" w:themeTint="A6"/>
                                <w:sz w:val="18"/>
                                <w:szCs w:val="18"/>
                                <w:lang w:val="pt-BR"/>
                              </w:rPr>
                              <w:t>62</w:t>
                            </w:r>
                            <w:r w:rsidR="007B05C4" w:rsidRPr="00A11103">
                              <w:rPr>
                                <w:rFonts w:asciiTheme="majorHAnsi" w:hAnsiTheme="majorHAnsi"/>
                                <w:color w:val="595959" w:themeColor="text1" w:themeTint="A6"/>
                                <w:sz w:val="18"/>
                                <w:szCs w:val="18"/>
                                <w:lang w:val="pt-BR"/>
                              </w:rPr>
                              <w:t>/</w:t>
                            </w:r>
                            <w:r w:rsidR="00A11103" w:rsidRPr="00A11103">
                              <w:rPr>
                                <w:rFonts w:asciiTheme="majorHAnsi" w:hAnsiTheme="majorHAnsi"/>
                                <w:color w:val="595959" w:themeColor="text1" w:themeTint="A6"/>
                                <w:sz w:val="18"/>
                                <w:szCs w:val="18"/>
                                <w:lang w:val="pt-BR"/>
                              </w:rPr>
                              <w:t>22</w:t>
                            </w:r>
                            <w:r w:rsidRPr="00A1110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C368B">
                              <w:rPr>
                                <w:rFonts w:asciiTheme="majorHAnsi" w:hAnsiTheme="majorHAnsi"/>
                                <w:color w:val="595959" w:themeColor="text1" w:themeTint="A6"/>
                                <w:sz w:val="18"/>
                                <w:szCs w:val="18"/>
                                <w:lang w:val="es-ES"/>
                              </w:rPr>
                              <w:t>1096</w:t>
                            </w:r>
                            <w:r w:rsidR="000433C9">
                              <w:rPr>
                                <w:rFonts w:asciiTheme="majorHAnsi" w:hAnsiTheme="majorHAnsi"/>
                                <w:color w:val="595959" w:themeColor="text1" w:themeTint="A6"/>
                                <w:sz w:val="18"/>
                                <w:szCs w:val="18"/>
                                <w:lang w:val="es-ES"/>
                              </w:rPr>
                              <w:t>-</w:t>
                            </w:r>
                            <w:r w:rsidR="00EC368B">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EC368B">
                              <w:rPr>
                                <w:rFonts w:asciiTheme="majorHAnsi" w:hAnsiTheme="majorHAnsi"/>
                                <w:color w:val="595959" w:themeColor="text1" w:themeTint="A6"/>
                                <w:sz w:val="18"/>
                                <w:szCs w:val="18"/>
                                <w:lang w:val="es-ES_tradnl"/>
                              </w:rPr>
                              <w:t xml:space="preserve">Julio Carrizosa Mutis y </w:t>
                            </w:r>
                            <w:r w:rsidR="008C68D9">
                              <w:rPr>
                                <w:rFonts w:asciiTheme="majorHAnsi" w:hAnsiTheme="majorHAnsi"/>
                                <w:color w:val="595959" w:themeColor="text1" w:themeTint="A6"/>
                                <w:sz w:val="18"/>
                                <w:szCs w:val="18"/>
                                <w:lang w:val="es-ES_tradnl"/>
                              </w:rPr>
                              <w:t>familia</w:t>
                            </w:r>
                            <w:r w:rsidR="001A27D3">
                              <w:rPr>
                                <w:rFonts w:asciiTheme="majorHAnsi" w:hAnsiTheme="majorHAnsi"/>
                                <w:color w:val="595959" w:themeColor="text1" w:themeTint="A6"/>
                                <w:sz w:val="18"/>
                                <w:szCs w:val="18"/>
                                <w:lang w:val="es-ES_tradnl"/>
                              </w:rPr>
                              <w:t xml:space="preserve"> (Corporación Grancolombiana de </w:t>
                            </w:r>
                            <w:r w:rsidR="00670504">
                              <w:rPr>
                                <w:rFonts w:asciiTheme="majorHAnsi" w:hAnsiTheme="majorHAnsi"/>
                                <w:color w:val="595959" w:themeColor="text1" w:themeTint="A6"/>
                                <w:sz w:val="18"/>
                                <w:szCs w:val="18"/>
                                <w:lang w:val="es-ES_tradnl"/>
                              </w:rPr>
                              <w:t>A</w:t>
                            </w:r>
                            <w:r w:rsidR="00AB4325">
                              <w:rPr>
                                <w:rFonts w:asciiTheme="majorHAnsi" w:hAnsiTheme="majorHAnsi"/>
                                <w:color w:val="595959" w:themeColor="text1" w:themeTint="A6"/>
                                <w:sz w:val="18"/>
                                <w:szCs w:val="18"/>
                                <w:lang w:val="es-ES_tradnl"/>
                              </w:rPr>
                              <w:t xml:space="preserve">horro y </w:t>
                            </w:r>
                            <w:r w:rsidR="00670504">
                              <w:rPr>
                                <w:rFonts w:asciiTheme="majorHAnsi" w:hAnsiTheme="majorHAnsi"/>
                                <w:color w:val="595959" w:themeColor="text1" w:themeTint="A6"/>
                                <w:sz w:val="18"/>
                                <w:szCs w:val="18"/>
                                <w:lang w:val="es-ES_tradnl"/>
                              </w:rPr>
                              <w:t>V</w:t>
                            </w:r>
                            <w:r w:rsidR="00AB4325">
                              <w:rPr>
                                <w:rFonts w:asciiTheme="majorHAnsi" w:hAnsiTheme="majorHAnsi"/>
                                <w:color w:val="595959" w:themeColor="text1" w:themeTint="A6"/>
                                <w:sz w:val="18"/>
                                <w:szCs w:val="18"/>
                                <w:lang w:val="es-ES_tradnl"/>
                              </w:rPr>
                              <w:t>ivienda</w:t>
                            </w:r>
                            <w:r w:rsidRPr="00890650">
                              <w:rPr>
                                <w:rFonts w:asciiTheme="majorHAnsi" w:hAnsiTheme="majorHAnsi"/>
                                <w:color w:val="595959" w:themeColor="text1" w:themeTint="A6"/>
                                <w:sz w:val="18"/>
                                <w:szCs w:val="18"/>
                                <w:lang w:val="es-ES_tradnl"/>
                              </w:rPr>
                              <w:t xml:space="preserve">. </w:t>
                            </w:r>
                            <w:r w:rsidR="00EC368B">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7A122D">
                              <w:rPr>
                                <w:rFonts w:asciiTheme="majorHAnsi" w:hAnsiTheme="majorHAnsi"/>
                                <w:color w:val="595959" w:themeColor="text1" w:themeTint="A6"/>
                                <w:sz w:val="18"/>
                                <w:szCs w:val="18"/>
                                <w:lang w:val="es-ES"/>
                              </w:rPr>
                              <w:t>7 de marzo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3pt;width:402.4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" filled="f" stroked="f" strokeweight=".5pt">
                <v:textbox>
                  <w:txbxContent>
                    <w:p w14:paraId="0D1B22CF" w14:textId="660F271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11103" w:rsidRPr="00A11103">
                        <w:rPr>
                          <w:rFonts w:asciiTheme="majorHAnsi" w:hAnsiTheme="majorHAnsi"/>
                          <w:color w:val="595959" w:themeColor="text1" w:themeTint="A6"/>
                          <w:sz w:val="18"/>
                          <w:szCs w:val="18"/>
                          <w:lang w:val="pt-BR"/>
                        </w:rPr>
                        <w:t>62</w:t>
                      </w:r>
                      <w:r w:rsidR="007B05C4" w:rsidRPr="00A11103">
                        <w:rPr>
                          <w:rFonts w:asciiTheme="majorHAnsi" w:hAnsiTheme="majorHAnsi"/>
                          <w:color w:val="595959" w:themeColor="text1" w:themeTint="A6"/>
                          <w:sz w:val="18"/>
                          <w:szCs w:val="18"/>
                          <w:lang w:val="pt-BR"/>
                        </w:rPr>
                        <w:t>/</w:t>
                      </w:r>
                      <w:r w:rsidR="00A11103" w:rsidRPr="00A11103">
                        <w:rPr>
                          <w:rFonts w:asciiTheme="majorHAnsi" w:hAnsiTheme="majorHAnsi"/>
                          <w:color w:val="595959" w:themeColor="text1" w:themeTint="A6"/>
                          <w:sz w:val="18"/>
                          <w:szCs w:val="18"/>
                          <w:lang w:val="pt-BR"/>
                        </w:rPr>
                        <w:t>22</w:t>
                      </w:r>
                      <w:r w:rsidRPr="00A1110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C368B">
                        <w:rPr>
                          <w:rFonts w:asciiTheme="majorHAnsi" w:hAnsiTheme="majorHAnsi"/>
                          <w:color w:val="595959" w:themeColor="text1" w:themeTint="A6"/>
                          <w:sz w:val="18"/>
                          <w:szCs w:val="18"/>
                          <w:lang w:val="es-ES"/>
                        </w:rPr>
                        <w:t>1096</w:t>
                      </w:r>
                      <w:r w:rsidR="000433C9">
                        <w:rPr>
                          <w:rFonts w:asciiTheme="majorHAnsi" w:hAnsiTheme="majorHAnsi"/>
                          <w:color w:val="595959" w:themeColor="text1" w:themeTint="A6"/>
                          <w:sz w:val="18"/>
                          <w:szCs w:val="18"/>
                          <w:lang w:val="es-ES"/>
                        </w:rPr>
                        <w:t>-</w:t>
                      </w:r>
                      <w:r w:rsidR="00EC368B">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EC368B">
                        <w:rPr>
                          <w:rFonts w:asciiTheme="majorHAnsi" w:hAnsiTheme="majorHAnsi"/>
                          <w:color w:val="595959" w:themeColor="text1" w:themeTint="A6"/>
                          <w:sz w:val="18"/>
                          <w:szCs w:val="18"/>
                          <w:lang w:val="es-ES_tradnl"/>
                        </w:rPr>
                        <w:t xml:space="preserve">Julio Carrizosa Mutis y </w:t>
                      </w:r>
                      <w:r w:rsidR="008C68D9">
                        <w:rPr>
                          <w:rFonts w:asciiTheme="majorHAnsi" w:hAnsiTheme="majorHAnsi"/>
                          <w:color w:val="595959" w:themeColor="text1" w:themeTint="A6"/>
                          <w:sz w:val="18"/>
                          <w:szCs w:val="18"/>
                          <w:lang w:val="es-ES_tradnl"/>
                        </w:rPr>
                        <w:t>familia</w:t>
                      </w:r>
                      <w:r w:rsidR="001A27D3">
                        <w:rPr>
                          <w:rFonts w:asciiTheme="majorHAnsi" w:hAnsiTheme="majorHAnsi"/>
                          <w:color w:val="595959" w:themeColor="text1" w:themeTint="A6"/>
                          <w:sz w:val="18"/>
                          <w:szCs w:val="18"/>
                          <w:lang w:val="es-ES_tradnl"/>
                        </w:rPr>
                        <w:t xml:space="preserve"> (Corporación Grancolombiana de </w:t>
                      </w:r>
                      <w:r w:rsidR="00670504">
                        <w:rPr>
                          <w:rFonts w:asciiTheme="majorHAnsi" w:hAnsiTheme="majorHAnsi"/>
                          <w:color w:val="595959" w:themeColor="text1" w:themeTint="A6"/>
                          <w:sz w:val="18"/>
                          <w:szCs w:val="18"/>
                          <w:lang w:val="es-ES_tradnl"/>
                        </w:rPr>
                        <w:t>A</w:t>
                      </w:r>
                      <w:r w:rsidR="00AB4325">
                        <w:rPr>
                          <w:rFonts w:asciiTheme="majorHAnsi" w:hAnsiTheme="majorHAnsi"/>
                          <w:color w:val="595959" w:themeColor="text1" w:themeTint="A6"/>
                          <w:sz w:val="18"/>
                          <w:szCs w:val="18"/>
                          <w:lang w:val="es-ES_tradnl"/>
                        </w:rPr>
                        <w:t xml:space="preserve">horro y </w:t>
                      </w:r>
                      <w:r w:rsidR="00670504">
                        <w:rPr>
                          <w:rFonts w:asciiTheme="majorHAnsi" w:hAnsiTheme="majorHAnsi"/>
                          <w:color w:val="595959" w:themeColor="text1" w:themeTint="A6"/>
                          <w:sz w:val="18"/>
                          <w:szCs w:val="18"/>
                          <w:lang w:val="es-ES_tradnl"/>
                        </w:rPr>
                        <w:t>V</w:t>
                      </w:r>
                      <w:r w:rsidR="00AB4325">
                        <w:rPr>
                          <w:rFonts w:asciiTheme="majorHAnsi" w:hAnsiTheme="majorHAnsi"/>
                          <w:color w:val="595959" w:themeColor="text1" w:themeTint="A6"/>
                          <w:sz w:val="18"/>
                          <w:szCs w:val="18"/>
                          <w:lang w:val="es-ES_tradnl"/>
                        </w:rPr>
                        <w:t>ivienda</w:t>
                      </w:r>
                      <w:r w:rsidRPr="00890650">
                        <w:rPr>
                          <w:rFonts w:asciiTheme="majorHAnsi" w:hAnsiTheme="majorHAnsi"/>
                          <w:color w:val="595959" w:themeColor="text1" w:themeTint="A6"/>
                          <w:sz w:val="18"/>
                          <w:szCs w:val="18"/>
                          <w:lang w:val="es-ES_tradnl"/>
                        </w:rPr>
                        <w:t xml:space="preserve">. </w:t>
                      </w:r>
                      <w:r w:rsidR="00EC368B">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7A122D">
                        <w:rPr>
                          <w:rFonts w:asciiTheme="majorHAnsi" w:hAnsiTheme="majorHAnsi"/>
                          <w:color w:val="595959" w:themeColor="text1" w:themeTint="A6"/>
                          <w:sz w:val="18"/>
                          <w:szCs w:val="18"/>
                          <w:lang w:val="es-ES"/>
                        </w:rPr>
                        <w:t>7 de marzo de 2022</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08D7140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E699525" w:rsidR="00D72DC6" w:rsidRPr="00D72DC6" w:rsidRDefault="00392DF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38B72CC" wp14:editId="47BFEB74">
                                  <wp:extent cx="1817914" cy="467658"/>
                                  <wp:effectExtent l="0" t="0" r="0" b="889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27039" cy="4700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3E699525" w:rsidR="00D72DC6" w:rsidRPr="00D72DC6" w:rsidRDefault="00392DF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38B72CC" wp14:editId="47BFEB74">
                            <wp:extent cx="1817914" cy="467658"/>
                            <wp:effectExtent l="0" t="0" r="0" b="889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27039" cy="47000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43CA3"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62DCEF67" w:rsidR="003239B8" w:rsidRPr="00461F14" w:rsidRDefault="00461F14" w:rsidP="008D2290">
            <w:pPr>
              <w:jc w:val="both"/>
              <w:rPr>
                <w:rFonts w:ascii="Cambria" w:hAnsi="Cambria"/>
                <w:bCs/>
                <w:sz w:val="20"/>
                <w:szCs w:val="20"/>
                <w:lang w:val="es-ES"/>
              </w:rPr>
            </w:pPr>
            <w:r w:rsidRPr="00461F14">
              <w:rPr>
                <w:rFonts w:ascii="Cambria" w:hAnsi="Cambria"/>
                <w:bCs/>
                <w:sz w:val="20"/>
                <w:szCs w:val="20"/>
                <w:lang w:val="es-ES"/>
              </w:rPr>
              <w:t>Julio Carrizosa Mutis</w:t>
            </w:r>
            <w:r w:rsidR="008C68D9">
              <w:rPr>
                <w:rFonts w:ascii="Cambria" w:hAnsi="Cambria"/>
                <w:bCs/>
                <w:sz w:val="20"/>
                <w:szCs w:val="20"/>
                <w:lang w:val="es-ES"/>
              </w:rPr>
              <w:t>, Astrida Gelzis de Carrizosa, Alberto Carrizosa Gelzis, Enrique Carrizosa Gelzis y Felipe Carrizosa Gelzis</w:t>
            </w:r>
          </w:p>
        </w:tc>
      </w:tr>
      <w:tr w:rsidR="003239B8" w:rsidRPr="00343CA3"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4E06F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675E4C5C" w:rsidR="003239B8" w:rsidRPr="000D05CB" w:rsidRDefault="00461F14" w:rsidP="008D2290">
            <w:pPr>
              <w:jc w:val="both"/>
              <w:rPr>
                <w:rFonts w:ascii="Cambria" w:hAnsi="Cambria"/>
                <w:bCs/>
                <w:sz w:val="20"/>
                <w:szCs w:val="20"/>
                <w:lang w:val="es-ES"/>
              </w:rPr>
            </w:pPr>
            <w:r>
              <w:rPr>
                <w:rFonts w:ascii="Cambria" w:hAnsi="Cambria"/>
                <w:bCs/>
                <w:sz w:val="20"/>
                <w:szCs w:val="20"/>
                <w:lang w:val="es-ES"/>
              </w:rPr>
              <w:t>Julio Carrizosa Mutis</w:t>
            </w:r>
            <w:r w:rsidR="00A72803">
              <w:rPr>
                <w:rFonts w:ascii="Cambria" w:hAnsi="Cambria"/>
                <w:bCs/>
                <w:sz w:val="20"/>
                <w:szCs w:val="20"/>
                <w:lang w:val="es-ES"/>
              </w:rPr>
              <w:t xml:space="preserve"> Astrida Gelzis de Carrizosa, Alberto Carrizosa Gelzis, Enrique Carrizosa Gelzis y Felipe Carrizosa Gelzis</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7E155AB7" w:rsidR="003239B8" w:rsidRPr="000D05CB" w:rsidRDefault="00461F14" w:rsidP="008D2290">
            <w:pPr>
              <w:jc w:val="both"/>
              <w:rPr>
                <w:rFonts w:ascii="Cambria" w:hAnsi="Cambria"/>
                <w:bCs/>
                <w:sz w:val="20"/>
                <w:szCs w:val="20"/>
              </w:rPr>
            </w:pPr>
            <w:r>
              <w:rPr>
                <w:rFonts w:ascii="Cambria" w:hAnsi="Cambria"/>
                <w:bCs/>
                <w:sz w:val="20"/>
                <w:szCs w:val="20"/>
              </w:rPr>
              <w:t>Colombia</w:t>
            </w:r>
            <w:r w:rsidR="00C80D5C">
              <w:rPr>
                <w:rStyle w:val="FootnoteReference"/>
                <w:rFonts w:ascii="Cambria" w:hAnsi="Cambria"/>
                <w:bCs/>
                <w:sz w:val="20"/>
                <w:szCs w:val="20"/>
              </w:rPr>
              <w:footnoteReference w:id="2"/>
            </w:r>
          </w:p>
        </w:tc>
      </w:tr>
      <w:tr w:rsidR="00223A29" w:rsidRPr="00796BA9"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2003A595" w:rsidR="00223A29" w:rsidRPr="008C68D9" w:rsidRDefault="008C68D9" w:rsidP="008D2290">
            <w:pPr>
              <w:jc w:val="both"/>
              <w:rPr>
                <w:rFonts w:ascii="Cambria" w:hAnsi="Cambria"/>
                <w:bCs/>
                <w:sz w:val="20"/>
                <w:szCs w:val="20"/>
                <w:lang w:val="es-ES"/>
              </w:rPr>
            </w:pPr>
            <w:r w:rsidRPr="008C68D9">
              <w:rPr>
                <w:rFonts w:ascii="Cambria" w:hAnsi="Cambria"/>
                <w:bCs/>
                <w:sz w:val="20"/>
                <w:szCs w:val="20"/>
                <w:lang w:val="es-ES"/>
              </w:rPr>
              <w:t>Artículos 8, 21 y 25 de la Co</w:t>
            </w:r>
            <w:r>
              <w:rPr>
                <w:rFonts w:ascii="Cambria" w:hAnsi="Cambria"/>
                <w:bCs/>
                <w:sz w:val="20"/>
                <w:szCs w:val="20"/>
                <w:lang w:val="es-ES"/>
              </w:rPr>
              <w:t>nvención Americana sobre Derechos Humanos</w:t>
            </w:r>
            <w:r>
              <w:rPr>
                <w:rStyle w:val="FootnoteReference"/>
                <w:rFonts w:ascii="Cambria" w:hAnsi="Cambria"/>
                <w:bCs/>
                <w:sz w:val="20"/>
                <w:szCs w:val="20"/>
                <w:lang w:val="es-ES"/>
              </w:rPr>
              <w:footnoteReference w:id="3"/>
            </w:r>
            <w:r>
              <w:rPr>
                <w:rFonts w:ascii="Cambria" w:hAnsi="Cambria"/>
                <w:bCs/>
                <w:sz w:val="20"/>
                <w:szCs w:val="20"/>
                <w:lang w:val="es-ES"/>
              </w:rPr>
              <w:t>, en relación con su artículo 1.1</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0D4D2CF0" w:rsidR="004C2312" w:rsidRPr="003239B8" w:rsidRDefault="00596294" w:rsidP="002625EA">
            <w:pPr>
              <w:jc w:val="both"/>
              <w:rPr>
                <w:rFonts w:ascii="Cambria" w:hAnsi="Cambria"/>
                <w:bCs/>
                <w:sz w:val="20"/>
                <w:szCs w:val="20"/>
                <w:lang w:val="es-ES"/>
              </w:rPr>
            </w:pPr>
            <w:r>
              <w:rPr>
                <w:rFonts w:ascii="Cambria" w:hAnsi="Cambria"/>
                <w:bCs/>
                <w:sz w:val="20"/>
                <w:szCs w:val="20"/>
                <w:lang w:val="es-ES"/>
              </w:rPr>
              <w:t>6 de junio de 2012</w:t>
            </w:r>
          </w:p>
        </w:tc>
      </w:tr>
      <w:tr w:rsidR="00131425" w:rsidRPr="00796BA9"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3FD85B49" w:rsidR="00131425" w:rsidRPr="003239B8" w:rsidRDefault="00596294" w:rsidP="002625EA">
            <w:pPr>
              <w:jc w:val="both"/>
              <w:rPr>
                <w:rFonts w:ascii="Cambria" w:hAnsi="Cambria"/>
                <w:bCs/>
                <w:sz w:val="20"/>
                <w:szCs w:val="20"/>
                <w:lang w:val="es-ES"/>
              </w:rPr>
            </w:pPr>
            <w:r>
              <w:rPr>
                <w:rFonts w:ascii="Cambria" w:hAnsi="Cambria"/>
                <w:bCs/>
                <w:sz w:val="20"/>
                <w:szCs w:val="20"/>
                <w:lang w:val="es-ES"/>
              </w:rPr>
              <w:t>8 de junio de 2012, 29 de julio de 2016, 20 de marzo de 2017, 7 de octubre de 2017, 4 de julio de 2018, 10 de julio de 2018, 23 de abril de 2019</w:t>
            </w:r>
            <w:r w:rsidR="00065470">
              <w:rPr>
                <w:rFonts w:ascii="Cambria" w:hAnsi="Cambria"/>
                <w:bCs/>
                <w:sz w:val="20"/>
                <w:szCs w:val="20"/>
                <w:lang w:val="es-ES"/>
              </w:rPr>
              <w:t xml:space="preserve"> y </w:t>
            </w:r>
            <w:r>
              <w:rPr>
                <w:rFonts w:ascii="Cambria" w:hAnsi="Cambria"/>
                <w:bCs/>
                <w:sz w:val="20"/>
                <w:szCs w:val="20"/>
                <w:lang w:val="es-ES"/>
              </w:rPr>
              <w:t>7 de mayo de 2019</w:t>
            </w:r>
          </w:p>
        </w:tc>
      </w:tr>
      <w:tr w:rsidR="004C2312" w:rsidRPr="00596294"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526957AF" w:rsidR="004C2312" w:rsidRPr="003239B8" w:rsidRDefault="00596294" w:rsidP="008D2290">
            <w:pPr>
              <w:jc w:val="both"/>
              <w:rPr>
                <w:rFonts w:ascii="Cambria" w:hAnsi="Cambria"/>
                <w:bCs/>
                <w:sz w:val="20"/>
                <w:szCs w:val="20"/>
                <w:lang w:val="es-ES"/>
              </w:rPr>
            </w:pPr>
            <w:r>
              <w:rPr>
                <w:rFonts w:ascii="Cambria" w:hAnsi="Cambria"/>
                <w:bCs/>
                <w:sz w:val="20"/>
                <w:szCs w:val="20"/>
                <w:lang w:val="es-ES"/>
              </w:rPr>
              <w:t>7 de mayo de 2019</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227B6FFD" w:rsidR="004C2312" w:rsidRPr="003239B8" w:rsidRDefault="00596294" w:rsidP="008D2290">
            <w:pPr>
              <w:jc w:val="both"/>
              <w:rPr>
                <w:rFonts w:ascii="Cambria" w:hAnsi="Cambria"/>
                <w:bCs/>
                <w:sz w:val="20"/>
                <w:szCs w:val="20"/>
                <w:lang w:val="es-ES"/>
              </w:rPr>
            </w:pPr>
            <w:r>
              <w:rPr>
                <w:rFonts w:ascii="Cambria" w:hAnsi="Cambria"/>
                <w:bCs/>
                <w:sz w:val="20"/>
                <w:szCs w:val="20"/>
                <w:lang w:val="es-ES"/>
              </w:rPr>
              <w:t>2 de marzo de 2020</w:t>
            </w:r>
          </w:p>
        </w:tc>
      </w:tr>
      <w:tr w:rsidR="004C2312" w:rsidRPr="00796BA9"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0B6EF5FD" w:rsidR="004C2312" w:rsidRPr="003239B8" w:rsidRDefault="00596294" w:rsidP="008D2290">
            <w:pPr>
              <w:jc w:val="both"/>
              <w:rPr>
                <w:rFonts w:ascii="Cambria" w:hAnsi="Cambria"/>
                <w:bCs/>
                <w:sz w:val="20"/>
                <w:szCs w:val="20"/>
                <w:lang w:val="es-ES"/>
              </w:rPr>
            </w:pPr>
            <w:r>
              <w:rPr>
                <w:rFonts w:ascii="Cambria" w:hAnsi="Cambria"/>
                <w:bCs/>
                <w:sz w:val="20"/>
                <w:szCs w:val="20"/>
                <w:lang w:val="es-ES"/>
              </w:rPr>
              <w:t>22 de mayo de 2020</w:t>
            </w:r>
            <w:r w:rsidR="00343CA3">
              <w:rPr>
                <w:rFonts w:ascii="Cambria" w:hAnsi="Cambria"/>
                <w:bCs/>
                <w:sz w:val="20"/>
                <w:szCs w:val="20"/>
                <w:lang w:val="es-ES"/>
              </w:rPr>
              <w:t xml:space="preserve"> y 21 de junio de 2021</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673D4464" w:rsidR="004C2312" w:rsidRPr="008C68D9" w:rsidRDefault="00596294" w:rsidP="008D2290">
            <w:pPr>
              <w:jc w:val="both"/>
              <w:rPr>
                <w:rFonts w:ascii="Cambria" w:hAnsi="Cambria"/>
                <w:bCs/>
                <w:sz w:val="20"/>
                <w:szCs w:val="20"/>
                <w:lang w:val="es-ES"/>
              </w:rPr>
            </w:pPr>
            <w:r w:rsidRPr="008C68D9">
              <w:rPr>
                <w:rFonts w:ascii="Cambria" w:hAnsi="Cambria"/>
                <w:bCs/>
                <w:sz w:val="20"/>
                <w:szCs w:val="20"/>
                <w:lang w:val="es-ES"/>
              </w:rPr>
              <w:t>10 de dic</w:t>
            </w:r>
            <w:r w:rsidR="008C68D9" w:rsidRPr="008C68D9">
              <w:rPr>
                <w:rFonts w:ascii="Cambria" w:hAnsi="Cambria"/>
                <w:bCs/>
                <w:sz w:val="20"/>
                <w:szCs w:val="20"/>
                <w:lang w:val="es-ES"/>
              </w:rPr>
              <w:t>i</w:t>
            </w:r>
            <w:r w:rsidRPr="008C68D9">
              <w:rPr>
                <w:rFonts w:ascii="Cambria" w:hAnsi="Cambria"/>
                <w:bCs/>
                <w:sz w:val="20"/>
                <w:szCs w:val="20"/>
                <w:lang w:val="es-ES"/>
              </w:rPr>
              <w:t>e</w:t>
            </w:r>
            <w:r w:rsidR="008C68D9" w:rsidRPr="008C68D9">
              <w:rPr>
                <w:rFonts w:ascii="Cambria" w:hAnsi="Cambria"/>
                <w:bCs/>
                <w:sz w:val="20"/>
                <w:szCs w:val="20"/>
                <w:lang w:val="es-ES"/>
              </w:rPr>
              <w:t>m</w:t>
            </w:r>
            <w:r w:rsidRPr="008C68D9">
              <w:rPr>
                <w:rFonts w:ascii="Cambria" w:hAnsi="Cambria"/>
                <w:bCs/>
                <w:sz w:val="20"/>
                <w:szCs w:val="20"/>
                <w:lang w:val="es-ES"/>
              </w:rPr>
              <w:t>bre de 2020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796BA9"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6695DC30" w:rsidR="003239B8" w:rsidRPr="00596294" w:rsidRDefault="00596294" w:rsidP="008D2290">
            <w:pPr>
              <w:rPr>
                <w:rFonts w:ascii="Cambria" w:hAnsi="Cambria"/>
                <w:bCs/>
                <w:sz w:val="20"/>
                <w:szCs w:val="20"/>
                <w:lang w:val="es-ES"/>
              </w:rPr>
            </w:pPr>
            <w:r w:rsidRPr="00596294">
              <w:rPr>
                <w:rFonts w:ascii="Cambria" w:hAnsi="Cambria"/>
                <w:bCs/>
                <w:sz w:val="20"/>
                <w:szCs w:val="20"/>
                <w:lang w:val="es-ES"/>
              </w:rPr>
              <w:t>No, en los términos de la sección IV</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4DA48496" w:rsidR="003239B8" w:rsidRPr="00B3745F" w:rsidRDefault="00596294"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37270049" w:rsidR="003239B8" w:rsidRPr="00B3745F" w:rsidRDefault="00596294" w:rsidP="008D2290">
            <w:pPr>
              <w:rPr>
                <w:rFonts w:ascii="Cambria" w:hAnsi="Cambria"/>
                <w:bCs/>
                <w:sz w:val="20"/>
                <w:szCs w:val="20"/>
              </w:rPr>
            </w:pPr>
            <w:r>
              <w:rPr>
                <w:rFonts w:ascii="Cambria" w:hAnsi="Cambria"/>
                <w:bCs/>
                <w:sz w:val="20"/>
                <w:szCs w:val="20"/>
              </w:rPr>
              <w:t>Sí</w:t>
            </w:r>
          </w:p>
        </w:tc>
      </w:tr>
      <w:tr w:rsidR="003239B8" w:rsidRPr="00796BA9"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5E852DCE" w:rsidR="003239B8" w:rsidRPr="00B3745F" w:rsidRDefault="00596294" w:rsidP="008D2290">
            <w:pPr>
              <w:jc w:val="both"/>
              <w:rPr>
                <w:rFonts w:ascii="Cambria" w:hAnsi="Cambria"/>
                <w:bCs/>
                <w:sz w:val="20"/>
                <w:szCs w:val="20"/>
                <w:lang w:val="es-ES"/>
              </w:rPr>
            </w:pPr>
            <w:r>
              <w:rPr>
                <w:rFonts w:ascii="Cambria" w:hAnsi="Cambria"/>
                <w:bCs/>
                <w:sz w:val="20"/>
                <w:szCs w:val="20"/>
                <w:lang w:val="es-ES"/>
              </w:rPr>
              <w:t xml:space="preserve">Sí, </w:t>
            </w:r>
            <w:r w:rsidR="001C0786" w:rsidRPr="00F13576">
              <w:rPr>
                <w:rFonts w:ascii="Cambria" w:hAnsi="Cambria"/>
                <w:bCs/>
                <w:sz w:val="20"/>
                <w:szCs w:val="20"/>
                <w:lang w:val="es-ES"/>
              </w:rPr>
              <w:t>Convención Americana (depósito del instrumento de ratificación realizado el 31 de julio de 1973)</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7"/>
        <w:gridCol w:w="5675"/>
      </w:tblGrid>
      <w:tr w:rsidR="00EE00E9" w:rsidRPr="00596294"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1FCC7F72" w:rsidR="00EE00E9" w:rsidRPr="00DC24E3" w:rsidRDefault="00596294" w:rsidP="008D2290">
            <w:pPr>
              <w:jc w:val="both"/>
              <w:rPr>
                <w:rFonts w:ascii="Cambria" w:hAnsi="Cambria"/>
                <w:bCs/>
                <w:sz w:val="20"/>
                <w:szCs w:val="20"/>
                <w:lang w:val="es-ES"/>
              </w:rPr>
            </w:pPr>
            <w:r>
              <w:rPr>
                <w:rFonts w:ascii="Cambria" w:hAnsi="Cambria"/>
                <w:bCs/>
                <w:sz w:val="20"/>
                <w:szCs w:val="20"/>
                <w:lang w:val="es-ES"/>
              </w:rPr>
              <w:t>No aplica</w:t>
            </w:r>
          </w:p>
        </w:tc>
      </w:tr>
      <w:tr w:rsidR="003239B8" w:rsidRPr="002021C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552CE45D" w:rsidR="003239B8" w:rsidRPr="00DC24E3" w:rsidRDefault="00596294" w:rsidP="008D2290">
            <w:pPr>
              <w:jc w:val="both"/>
              <w:rPr>
                <w:rFonts w:ascii="Cambria" w:hAnsi="Cambria"/>
                <w:bCs/>
                <w:sz w:val="20"/>
                <w:szCs w:val="20"/>
              </w:rPr>
            </w:pPr>
            <w:r>
              <w:rPr>
                <w:rFonts w:ascii="Cambria" w:hAnsi="Cambria"/>
                <w:bCs/>
                <w:sz w:val="20"/>
                <w:szCs w:val="20"/>
              </w:rPr>
              <w:t>No aplica</w:t>
            </w:r>
          </w:p>
        </w:tc>
      </w:tr>
      <w:tr w:rsidR="003239B8" w:rsidRPr="00596294"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2FC9112D" w:rsidR="003239B8" w:rsidRPr="00DC24E3" w:rsidRDefault="00596294" w:rsidP="008D2290">
            <w:pPr>
              <w:rPr>
                <w:rFonts w:ascii="Cambria" w:hAnsi="Cambria"/>
                <w:bCs/>
                <w:sz w:val="20"/>
                <w:szCs w:val="20"/>
                <w:lang w:val="es-ES"/>
              </w:rPr>
            </w:pPr>
            <w:r>
              <w:rPr>
                <w:rFonts w:ascii="Cambria" w:hAnsi="Cambria"/>
                <w:bCs/>
                <w:sz w:val="20"/>
                <w:szCs w:val="20"/>
                <w:lang w:val="es-ES"/>
              </w:rPr>
              <w:t>No aplica</w:t>
            </w:r>
          </w:p>
        </w:tc>
      </w:tr>
      <w:tr w:rsidR="003239B8" w:rsidRPr="00B2155F"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6C377DD3" w:rsidR="003239B8" w:rsidRPr="00DC24E3" w:rsidRDefault="00596294" w:rsidP="008D2290">
            <w:pPr>
              <w:rPr>
                <w:rFonts w:ascii="Cambria" w:hAnsi="Cambria"/>
                <w:bCs/>
                <w:sz w:val="20"/>
                <w:szCs w:val="20"/>
              </w:rPr>
            </w:pPr>
            <w:r>
              <w:rPr>
                <w:rFonts w:ascii="Cambria" w:hAnsi="Cambria"/>
                <w:bCs/>
                <w:sz w:val="20"/>
                <w:szCs w:val="20"/>
              </w:rPr>
              <w:t>No aplica</w:t>
            </w:r>
          </w:p>
        </w:tc>
      </w:tr>
    </w:tbl>
    <w:p w14:paraId="18E6423B" w14:textId="77777777" w:rsidR="003239B8" w:rsidRPr="002F30E4" w:rsidRDefault="00223A29" w:rsidP="003239B8">
      <w:pPr>
        <w:spacing w:before="240" w:after="240"/>
        <w:ind w:firstLine="720"/>
        <w:jc w:val="both"/>
        <w:rPr>
          <w:rFonts w:asciiTheme="majorHAnsi" w:hAnsiTheme="majorHAnsi"/>
          <w:b/>
          <w:sz w:val="20"/>
          <w:szCs w:val="20"/>
          <w:lang w:val="es-ES_tradnl"/>
        </w:rPr>
      </w:pPr>
      <w:r w:rsidRPr="002F30E4">
        <w:rPr>
          <w:rFonts w:asciiTheme="majorHAnsi" w:hAnsiTheme="majorHAnsi"/>
          <w:b/>
          <w:sz w:val="20"/>
          <w:szCs w:val="20"/>
          <w:lang w:val="es-ES_tradnl"/>
        </w:rPr>
        <w:t xml:space="preserve">V. </w:t>
      </w:r>
      <w:r w:rsidRPr="002F30E4">
        <w:rPr>
          <w:rFonts w:asciiTheme="majorHAnsi" w:hAnsiTheme="majorHAnsi"/>
          <w:b/>
          <w:sz w:val="20"/>
          <w:szCs w:val="20"/>
          <w:lang w:val="es-ES_tradnl"/>
        </w:rPr>
        <w:tab/>
      </w:r>
      <w:r w:rsidR="003239B8" w:rsidRPr="002F30E4">
        <w:rPr>
          <w:rFonts w:asciiTheme="majorHAnsi" w:hAnsiTheme="majorHAnsi"/>
          <w:b/>
          <w:sz w:val="20"/>
          <w:szCs w:val="20"/>
          <w:lang w:val="es-ES_tradnl"/>
        </w:rPr>
        <w:t xml:space="preserve">HECHOS ALEGADOS </w:t>
      </w:r>
    </w:p>
    <w:p w14:paraId="47367CB6" w14:textId="0DEC727B" w:rsidR="00EA5852" w:rsidRPr="002F30E4" w:rsidRDefault="008C68D9" w:rsidP="00EA58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F30E4">
        <w:rPr>
          <w:rFonts w:asciiTheme="majorHAnsi" w:hAnsiTheme="majorHAnsi"/>
          <w:sz w:val="20"/>
          <w:szCs w:val="20"/>
          <w:lang w:val="es-ES_tradnl"/>
        </w:rPr>
        <w:t xml:space="preserve">El señor Julio Carrizosa Mutis y sus familiares, en su condición de peticionarios y presuntas víctimas, </w:t>
      </w:r>
      <w:r w:rsidR="00065470" w:rsidRPr="002F30E4">
        <w:rPr>
          <w:rFonts w:asciiTheme="majorHAnsi" w:hAnsiTheme="majorHAnsi"/>
          <w:sz w:val="20"/>
          <w:szCs w:val="20"/>
          <w:lang w:val="es-ES_tradnl"/>
        </w:rPr>
        <w:t>alegan</w:t>
      </w:r>
      <w:r w:rsidRPr="002F30E4">
        <w:rPr>
          <w:rFonts w:asciiTheme="majorHAnsi" w:hAnsiTheme="majorHAnsi"/>
          <w:sz w:val="20"/>
          <w:szCs w:val="20"/>
          <w:lang w:val="es-ES_tradnl"/>
        </w:rPr>
        <w:t xml:space="preserve"> que el Estado violó</w:t>
      </w:r>
      <w:r w:rsidR="00EA5852" w:rsidRPr="002F30E4">
        <w:rPr>
          <w:rFonts w:asciiTheme="majorHAnsi" w:hAnsiTheme="majorHAnsi"/>
          <w:sz w:val="20"/>
          <w:szCs w:val="20"/>
          <w:lang w:val="es-ES_tradnl"/>
        </w:rPr>
        <w:t xml:space="preserve"> sus derechos al debido proceso y a la propiedad privada, al privarles de la corporativa sobre la cual su grupo de empresas era accionista mayoritario.  </w:t>
      </w:r>
    </w:p>
    <w:p w14:paraId="1D59A3A7" w14:textId="1050256C" w:rsidR="008C68D9" w:rsidRPr="002F30E4" w:rsidRDefault="001702CC" w:rsidP="00913C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F30E4">
        <w:rPr>
          <w:rFonts w:asciiTheme="majorHAnsi" w:hAnsiTheme="majorHAnsi"/>
          <w:sz w:val="20"/>
          <w:szCs w:val="20"/>
          <w:lang w:val="es-ES_tradnl"/>
        </w:rPr>
        <w:lastRenderedPageBreak/>
        <w:t>Los peticionarios narran</w:t>
      </w:r>
      <w:r w:rsidR="008C68D9" w:rsidRPr="002F30E4">
        <w:rPr>
          <w:rFonts w:asciiTheme="majorHAnsi" w:hAnsiTheme="majorHAnsi"/>
          <w:sz w:val="20"/>
          <w:szCs w:val="20"/>
          <w:lang w:val="es-ES_tradnl"/>
        </w:rPr>
        <w:t xml:space="preserve"> que son propietarios de un</w:t>
      </w:r>
      <w:r w:rsidR="0007202B" w:rsidRPr="002F30E4">
        <w:rPr>
          <w:rFonts w:asciiTheme="majorHAnsi" w:hAnsiTheme="majorHAnsi"/>
          <w:sz w:val="20"/>
          <w:szCs w:val="20"/>
          <w:lang w:val="es-ES_tradnl"/>
        </w:rPr>
        <w:t xml:space="preserve"> grupo de sociedades anónimas </w:t>
      </w:r>
      <w:r w:rsidR="004B0CAB" w:rsidRPr="002F30E4">
        <w:rPr>
          <w:rFonts w:asciiTheme="majorHAnsi" w:hAnsiTheme="majorHAnsi"/>
          <w:sz w:val="20"/>
          <w:szCs w:val="20"/>
          <w:lang w:val="es-ES_tradnl"/>
        </w:rPr>
        <w:t xml:space="preserve">(Asesoría e Inversiones C.G S.A., Inversiones Lieja S.A., Compto S.A., Exultar S.A., Fultiplex S.A., I.C Interventorías y Construcciones Ltda.); </w:t>
      </w:r>
      <w:r w:rsidR="0007202B" w:rsidRPr="002F30E4">
        <w:rPr>
          <w:rFonts w:asciiTheme="majorHAnsi" w:hAnsiTheme="majorHAnsi"/>
          <w:sz w:val="20"/>
          <w:szCs w:val="20"/>
          <w:lang w:val="es-ES_tradnl"/>
        </w:rPr>
        <w:t xml:space="preserve">y que a su vez </w:t>
      </w:r>
      <w:r w:rsidR="004B0CAB" w:rsidRPr="002F30E4">
        <w:rPr>
          <w:rFonts w:asciiTheme="majorHAnsi" w:hAnsiTheme="majorHAnsi"/>
          <w:sz w:val="20"/>
          <w:szCs w:val="20"/>
          <w:lang w:val="es-ES_tradnl"/>
        </w:rPr>
        <w:t>estas</w:t>
      </w:r>
      <w:r w:rsidR="0007202B" w:rsidRPr="002F30E4">
        <w:rPr>
          <w:rFonts w:asciiTheme="majorHAnsi" w:hAnsiTheme="majorHAnsi"/>
          <w:sz w:val="20"/>
          <w:szCs w:val="20"/>
          <w:lang w:val="es-ES_tradnl"/>
        </w:rPr>
        <w:t xml:space="preserve"> </w:t>
      </w:r>
      <w:r w:rsidR="0066260F" w:rsidRPr="002F30E4">
        <w:rPr>
          <w:rFonts w:asciiTheme="majorHAnsi" w:hAnsiTheme="majorHAnsi"/>
          <w:sz w:val="20"/>
          <w:szCs w:val="20"/>
          <w:lang w:val="es-ES_tradnl"/>
        </w:rPr>
        <w:t>personas jurídicas</w:t>
      </w:r>
      <w:r w:rsidR="004B0CAB" w:rsidRPr="002F30E4">
        <w:rPr>
          <w:rFonts w:asciiTheme="majorHAnsi" w:hAnsiTheme="majorHAnsi"/>
          <w:sz w:val="20"/>
          <w:szCs w:val="20"/>
          <w:lang w:val="es-ES_tradnl"/>
        </w:rPr>
        <w:t xml:space="preserve"> de derecho mercantil</w:t>
      </w:r>
      <w:r w:rsidR="00913C68" w:rsidRPr="002F30E4">
        <w:rPr>
          <w:rFonts w:asciiTheme="majorHAnsi" w:hAnsiTheme="majorHAnsi"/>
          <w:sz w:val="20"/>
          <w:szCs w:val="20"/>
          <w:lang w:val="es-ES_tradnl"/>
        </w:rPr>
        <w:t xml:space="preserve"> </w:t>
      </w:r>
      <w:r w:rsidR="00EA5852" w:rsidRPr="002F30E4">
        <w:rPr>
          <w:rFonts w:asciiTheme="majorHAnsi" w:hAnsiTheme="majorHAnsi"/>
          <w:sz w:val="20"/>
          <w:szCs w:val="20"/>
          <w:lang w:val="es-ES_tradnl"/>
        </w:rPr>
        <w:t>eran</w:t>
      </w:r>
      <w:r w:rsidR="0007202B" w:rsidRPr="002F30E4">
        <w:rPr>
          <w:rFonts w:asciiTheme="majorHAnsi" w:hAnsiTheme="majorHAnsi"/>
          <w:sz w:val="20"/>
          <w:szCs w:val="20"/>
          <w:lang w:val="es-ES_tradnl"/>
        </w:rPr>
        <w:t xml:space="preserve"> las accionistas mayoritarias de la Corporación Grancolombiana de Ahorro y Vivienda (en adelante, “Granahorrar”), dedicada a proveer créditos hipotecarios. </w:t>
      </w:r>
      <w:r w:rsidR="00492FAA" w:rsidRPr="002F30E4">
        <w:rPr>
          <w:rFonts w:asciiTheme="majorHAnsi" w:hAnsiTheme="majorHAnsi"/>
          <w:sz w:val="20"/>
          <w:szCs w:val="20"/>
          <w:lang w:val="es-ES_tradnl"/>
        </w:rPr>
        <w:t>Indican</w:t>
      </w:r>
      <w:r w:rsidR="0007202B" w:rsidRPr="002F30E4">
        <w:rPr>
          <w:rFonts w:asciiTheme="majorHAnsi" w:hAnsiTheme="majorHAnsi"/>
          <w:sz w:val="20"/>
          <w:szCs w:val="20"/>
          <w:lang w:val="es-ES_tradnl"/>
        </w:rPr>
        <w:t xml:space="preserve"> que producto de la crisis económica que atravesó </w:t>
      </w:r>
      <w:r w:rsidR="00FA1E3C" w:rsidRPr="002F30E4">
        <w:rPr>
          <w:rFonts w:asciiTheme="majorHAnsi" w:hAnsiTheme="majorHAnsi"/>
          <w:sz w:val="20"/>
          <w:szCs w:val="20"/>
          <w:lang w:val="es-ES_tradnl"/>
        </w:rPr>
        <w:t>Colombia</w:t>
      </w:r>
      <w:r w:rsidR="006B046D" w:rsidRPr="002F30E4">
        <w:rPr>
          <w:rFonts w:asciiTheme="majorHAnsi" w:hAnsiTheme="majorHAnsi"/>
          <w:sz w:val="20"/>
          <w:szCs w:val="20"/>
          <w:lang w:val="es-ES_tradnl"/>
        </w:rPr>
        <w:t xml:space="preserve"> en 1998</w:t>
      </w:r>
      <w:r w:rsidR="0007202B" w:rsidRPr="002F30E4">
        <w:rPr>
          <w:rFonts w:asciiTheme="majorHAnsi" w:hAnsiTheme="majorHAnsi"/>
          <w:sz w:val="20"/>
          <w:szCs w:val="20"/>
          <w:lang w:val="es-ES_tradnl"/>
        </w:rPr>
        <w:t xml:space="preserve">, Granahorrar </w:t>
      </w:r>
      <w:r w:rsidR="00AD7FBA" w:rsidRPr="002F30E4">
        <w:rPr>
          <w:rFonts w:asciiTheme="majorHAnsi" w:hAnsiTheme="majorHAnsi"/>
          <w:sz w:val="20"/>
          <w:szCs w:val="20"/>
          <w:lang w:val="es-ES_tradnl"/>
        </w:rPr>
        <w:t>comenzó</w:t>
      </w:r>
      <w:r w:rsidR="0007202B" w:rsidRPr="002F30E4">
        <w:rPr>
          <w:rFonts w:asciiTheme="majorHAnsi" w:hAnsiTheme="majorHAnsi"/>
          <w:sz w:val="20"/>
          <w:szCs w:val="20"/>
          <w:lang w:val="es-ES_tradnl"/>
        </w:rPr>
        <w:t xml:space="preserve"> a experimentar problemas de liquidez</w:t>
      </w:r>
      <w:r w:rsidR="00913C68" w:rsidRPr="002F30E4">
        <w:rPr>
          <w:rFonts w:asciiTheme="majorHAnsi" w:hAnsiTheme="majorHAnsi"/>
          <w:sz w:val="20"/>
          <w:szCs w:val="20"/>
          <w:lang w:val="es-ES_tradnl"/>
        </w:rPr>
        <w:t xml:space="preserve">, generando que </w:t>
      </w:r>
      <w:r w:rsidR="0007202B" w:rsidRPr="002F30E4">
        <w:rPr>
          <w:rFonts w:asciiTheme="majorHAnsi" w:hAnsiTheme="majorHAnsi"/>
          <w:sz w:val="20"/>
          <w:szCs w:val="20"/>
          <w:lang w:val="es-ES_tradnl"/>
        </w:rPr>
        <w:t xml:space="preserve">el 2 de junio de 1998 </w:t>
      </w:r>
      <w:r w:rsidR="00587A5A" w:rsidRPr="002F30E4">
        <w:rPr>
          <w:rFonts w:asciiTheme="majorHAnsi" w:hAnsiTheme="majorHAnsi"/>
          <w:sz w:val="20"/>
          <w:szCs w:val="20"/>
          <w:lang w:val="es-ES_tradnl"/>
        </w:rPr>
        <w:t>solicit</w:t>
      </w:r>
      <w:r w:rsidR="00913C68" w:rsidRPr="002F30E4">
        <w:rPr>
          <w:rFonts w:asciiTheme="majorHAnsi" w:hAnsiTheme="majorHAnsi"/>
          <w:sz w:val="20"/>
          <w:szCs w:val="20"/>
          <w:lang w:val="es-ES_tradnl"/>
        </w:rPr>
        <w:t>e</w:t>
      </w:r>
      <w:r w:rsidR="00587A5A" w:rsidRPr="002F30E4">
        <w:rPr>
          <w:rFonts w:asciiTheme="majorHAnsi" w:hAnsiTheme="majorHAnsi"/>
          <w:sz w:val="20"/>
          <w:szCs w:val="20"/>
          <w:lang w:val="es-ES_tradnl"/>
        </w:rPr>
        <w:t xml:space="preserve"> al Banco de la República un apoyo transitorio de liquidez</w:t>
      </w:r>
      <w:r w:rsidR="00913C68" w:rsidRPr="002F30E4">
        <w:rPr>
          <w:rFonts w:asciiTheme="majorHAnsi" w:hAnsiTheme="majorHAnsi"/>
          <w:sz w:val="20"/>
          <w:szCs w:val="20"/>
          <w:lang w:val="es-ES_tradnl"/>
        </w:rPr>
        <w:t xml:space="preserve">. </w:t>
      </w:r>
      <w:r w:rsidRPr="002F30E4">
        <w:rPr>
          <w:rFonts w:asciiTheme="majorHAnsi" w:hAnsiTheme="majorHAnsi"/>
          <w:sz w:val="20"/>
          <w:szCs w:val="20"/>
          <w:lang w:val="es-ES_tradnl"/>
        </w:rPr>
        <w:t>Esta</w:t>
      </w:r>
      <w:r w:rsidR="00587A5A" w:rsidRPr="002F30E4">
        <w:rPr>
          <w:rFonts w:asciiTheme="majorHAnsi" w:hAnsiTheme="majorHAnsi"/>
          <w:sz w:val="20"/>
          <w:szCs w:val="20"/>
          <w:lang w:val="es-ES_tradnl"/>
        </w:rPr>
        <w:t xml:space="preserve"> entidad bancaria </w:t>
      </w:r>
      <w:r w:rsidR="00FA1E3C" w:rsidRPr="002F30E4">
        <w:rPr>
          <w:rFonts w:asciiTheme="majorHAnsi" w:hAnsiTheme="majorHAnsi"/>
          <w:sz w:val="20"/>
          <w:szCs w:val="20"/>
          <w:lang w:val="es-ES_tradnl"/>
        </w:rPr>
        <w:t xml:space="preserve">aceptó tal solicitud y otorgó un </w:t>
      </w:r>
      <w:r w:rsidR="00587A5A" w:rsidRPr="002F30E4">
        <w:rPr>
          <w:rFonts w:asciiTheme="majorHAnsi" w:hAnsiTheme="majorHAnsi"/>
          <w:sz w:val="20"/>
          <w:szCs w:val="20"/>
          <w:lang w:val="es-ES_tradnl"/>
        </w:rPr>
        <w:t>monto 300,000,000</w:t>
      </w:r>
      <w:r w:rsidR="005D0BCF" w:rsidRPr="002F30E4">
        <w:rPr>
          <w:rFonts w:asciiTheme="majorHAnsi" w:hAnsiTheme="majorHAnsi"/>
          <w:sz w:val="20"/>
          <w:szCs w:val="20"/>
          <w:lang w:val="es-ES_tradnl"/>
        </w:rPr>
        <w:t>,000</w:t>
      </w:r>
      <w:r w:rsidR="00587A5A" w:rsidRPr="002F30E4">
        <w:rPr>
          <w:rFonts w:asciiTheme="majorHAnsi" w:hAnsiTheme="majorHAnsi"/>
          <w:sz w:val="20"/>
          <w:szCs w:val="20"/>
          <w:lang w:val="es-ES_tradnl"/>
        </w:rPr>
        <w:t xml:space="preserve"> pesos colombianos</w:t>
      </w:r>
      <w:r w:rsidR="00913C68" w:rsidRPr="002F30E4">
        <w:rPr>
          <w:rFonts w:asciiTheme="majorHAnsi" w:hAnsiTheme="majorHAnsi"/>
          <w:sz w:val="20"/>
          <w:szCs w:val="20"/>
          <w:lang w:val="es-ES_tradnl"/>
        </w:rPr>
        <w:t xml:space="preserve"> </w:t>
      </w:r>
      <w:r w:rsidR="00EA5852" w:rsidRPr="002F30E4">
        <w:rPr>
          <w:rFonts w:asciiTheme="majorHAnsi" w:hAnsiTheme="majorHAnsi"/>
          <w:sz w:val="20"/>
          <w:szCs w:val="20"/>
          <w:lang w:val="es-ES_tradnl"/>
        </w:rPr>
        <w:t xml:space="preserve">(aproximadamente </w:t>
      </w:r>
      <w:r w:rsidRPr="002F30E4">
        <w:rPr>
          <w:rFonts w:asciiTheme="majorHAnsi" w:hAnsiTheme="majorHAnsi"/>
          <w:sz w:val="20"/>
          <w:szCs w:val="20"/>
          <w:lang w:val="es-ES_tradnl"/>
        </w:rPr>
        <w:t xml:space="preserve">USD$. </w:t>
      </w:r>
      <w:r w:rsidR="006E503C" w:rsidRPr="002F30E4">
        <w:rPr>
          <w:rFonts w:asciiTheme="majorHAnsi" w:hAnsiTheme="majorHAnsi"/>
          <w:sz w:val="20"/>
          <w:szCs w:val="20"/>
          <w:lang w:val="es-ES_tradnl"/>
        </w:rPr>
        <w:t>217,200</w:t>
      </w:r>
      <w:r w:rsidR="005D0BCF" w:rsidRPr="002F30E4">
        <w:rPr>
          <w:rFonts w:asciiTheme="majorHAnsi" w:hAnsiTheme="majorHAnsi"/>
          <w:sz w:val="20"/>
          <w:szCs w:val="20"/>
          <w:lang w:val="es-ES_tradnl"/>
        </w:rPr>
        <w:t>,000</w:t>
      </w:r>
      <w:r w:rsidR="00EA5852" w:rsidRPr="002F30E4">
        <w:rPr>
          <w:rFonts w:asciiTheme="majorHAnsi" w:hAnsiTheme="majorHAnsi"/>
          <w:sz w:val="20"/>
          <w:szCs w:val="20"/>
          <w:lang w:val="es-ES_tradnl"/>
        </w:rPr>
        <w:t>)</w:t>
      </w:r>
      <w:r w:rsidR="006E503C" w:rsidRPr="002F30E4">
        <w:rPr>
          <w:rStyle w:val="FootnoteReference"/>
          <w:rFonts w:asciiTheme="majorHAnsi" w:hAnsiTheme="majorHAnsi"/>
          <w:sz w:val="20"/>
          <w:szCs w:val="20"/>
          <w:lang w:val="es-ES_tradnl"/>
        </w:rPr>
        <w:footnoteReference w:id="5"/>
      </w:r>
      <w:r w:rsidRPr="002F30E4">
        <w:rPr>
          <w:rFonts w:asciiTheme="majorHAnsi" w:hAnsiTheme="majorHAnsi"/>
          <w:sz w:val="20"/>
          <w:szCs w:val="20"/>
          <w:lang w:val="es-ES_tradnl"/>
        </w:rPr>
        <w:t>,</w:t>
      </w:r>
      <w:r w:rsidR="00000D1D" w:rsidRPr="002F30E4">
        <w:rPr>
          <w:rFonts w:asciiTheme="majorHAnsi" w:hAnsiTheme="majorHAnsi"/>
          <w:sz w:val="20"/>
          <w:szCs w:val="20"/>
          <w:lang w:val="es-ES_tradnl"/>
        </w:rPr>
        <w:t xml:space="preserve"> y</w:t>
      </w:r>
      <w:r w:rsidR="00EA5852" w:rsidRPr="002F30E4">
        <w:rPr>
          <w:rFonts w:asciiTheme="majorHAnsi" w:hAnsiTheme="majorHAnsi"/>
          <w:sz w:val="20"/>
          <w:szCs w:val="20"/>
          <w:lang w:val="es-ES_tradnl"/>
        </w:rPr>
        <w:t xml:space="preserve"> </w:t>
      </w:r>
      <w:r w:rsidRPr="002F30E4">
        <w:rPr>
          <w:rFonts w:asciiTheme="majorHAnsi" w:hAnsiTheme="majorHAnsi"/>
          <w:sz w:val="20"/>
          <w:szCs w:val="20"/>
          <w:lang w:val="es-ES_tradnl"/>
        </w:rPr>
        <w:t xml:space="preserve">como garantía de este préstamo </w:t>
      </w:r>
      <w:r w:rsidR="00913C68" w:rsidRPr="002F30E4">
        <w:rPr>
          <w:rFonts w:asciiTheme="majorHAnsi" w:hAnsiTheme="majorHAnsi"/>
          <w:sz w:val="20"/>
          <w:szCs w:val="20"/>
          <w:lang w:val="es-ES_tradnl"/>
        </w:rPr>
        <w:t xml:space="preserve">Granahorrar </w:t>
      </w:r>
      <w:r w:rsidRPr="002F30E4">
        <w:rPr>
          <w:rFonts w:asciiTheme="majorHAnsi" w:hAnsiTheme="majorHAnsi"/>
          <w:sz w:val="20"/>
          <w:szCs w:val="20"/>
          <w:lang w:val="es-ES_tradnl"/>
        </w:rPr>
        <w:t xml:space="preserve">ofreció </w:t>
      </w:r>
      <w:r w:rsidR="00913C68" w:rsidRPr="002F30E4">
        <w:rPr>
          <w:rFonts w:asciiTheme="majorHAnsi" w:hAnsiTheme="majorHAnsi"/>
          <w:sz w:val="20"/>
          <w:szCs w:val="20"/>
          <w:lang w:val="es-ES_tradnl"/>
        </w:rPr>
        <w:t xml:space="preserve">su cartera de adeudos. </w:t>
      </w:r>
    </w:p>
    <w:p w14:paraId="2B0BA5EA" w14:textId="6A346A19" w:rsidR="00587A5A" w:rsidRPr="002F30E4" w:rsidRDefault="001702CC" w:rsidP="00913C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F30E4">
        <w:rPr>
          <w:rFonts w:asciiTheme="majorHAnsi" w:hAnsiTheme="majorHAnsi"/>
          <w:sz w:val="20"/>
          <w:szCs w:val="20"/>
          <w:lang w:val="es-ES_tradnl"/>
        </w:rPr>
        <w:t>D</w:t>
      </w:r>
      <w:r w:rsidR="00783B98" w:rsidRPr="002F30E4">
        <w:rPr>
          <w:rFonts w:asciiTheme="majorHAnsi" w:hAnsiTheme="majorHAnsi"/>
          <w:sz w:val="20"/>
          <w:szCs w:val="20"/>
          <w:lang w:val="es-ES_tradnl"/>
        </w:rPr>
        <w:t>ado</w:t>
      </w:r>
      <w:r w:rsidR="00EE3D8C" w:rsidRPr="002F30E4">
        <w:rPr>
          <w:rFonts w:asciiTheme="majorHAnsi" w:hAnsiTheme="majorHAnsi"/>
          <w:sz w:val="20"/>
          <w:szCs w:val="20"/>
          <w:lang w:val="es-ES_tradnl"/>
        </w:rPr>
        <w:t xml:space="preserve"> que</w:t>
      </w:r>
      <w:r w:rsidR="00783B98" w:rsidRPr="002F30E4">
        <w:rPr>
          <w:rFonts w:asciiTheme="majorHAnsi" w:hAnsiTheme="majorHAnsi"/>
          <w:sz w:val="20"/>
          <w:szCs w:val="20"/>
          <w:lang w:val="es-ES_tradnl"/>
        </w:rPr>
        <w:t xml:space="preserve"> </w:t>
      </w:r>
      <w:r w:rsidR="002F547E" w:rsidRPr="002F30E4">
        <w:rPr>
          <w:rFonts w:asciiTheme="majorHAnsi" w:hAnsiTheme="majorHAnsi"/>
          <w:sz w:val="20"/>
          <w:szCs w:val="20"/>
          <w:lang w:val="es-ES_tradnl"/>
        </w:rPr>
        <w:t>Granahorrar continuó</w:t>
      </w:r>
      <w:r w:rsidR="00783B98" w:rsidRPr="002F30E4">
        <w:rPr>
          <w:rFonts w:asciiTheme="majorHAnsi" w:hAnsiTheme="majorHAnsi"/>
          <w:sz w:val="20"/>
          <w:szCs w:val="20"/>
          <w:lang w:val="es-ES_tradnl"/>
        </w:rPr>
        <w:t xml:space="preserve"> </w:t>
      </w:r>
      <w:r w:rsidR="002F547E" w:rsidRPr="002F30E4">
        <w:rPr>
          <w:rFonts w:asciiTheme="majorHAnsi" w:hAnsiTheme="majorHAnsi"/>
          <w:sz w:val="20"/>
          <w:szCs w:val="20"/>
          <w:lang w:val="es-ES_tradnl"/>
        </w:rPr>
        <w:t>experimentando</w:t>
      </w:r>
      <w:r w:rsidR="00783B98" w:rsidRPr="002F30E4">
        <w:rPr>
          <w:rFonts w:asciiTheme="majorHAnsi" w:hAnsiTheme="majorHAnsi"/>
          <w:sz w:val="20"/>
          <w:szCs w:val="20"/>
          <w:lang w:val="es-ES_tradnl"/>
        </w:rPr>
        <w:t xml:space="preserve"> algunas dificultades financieras</w:t>
      </w:r>
      <w:r w:rsidR="00FA1E3C" w:rsidRPr="002F30E4">
        <w:rPr>
          <w:rFonts w:asciiTheme="majorHAnsi" w:hAnsiTheme="majorHAnsi"/>
          <w:sz w:val="20"/>
          <w:szCs w:val="20"/>
          <w:lang w:val="es-ES_tradnl"/>
        </w:rPr>
        <w:t>,</w:t>
      </w:r>
      <w:r w:rsidR="00587A5A" w:rsidRPr="002F30E4">
        <w:rPr>
          <w:rFonts w:asciiTheme="majorHAnsi" w:hAnsiTheme="majorHAnsi"/>
          <w:sz w:val="20"/>
          <w:szCs w:val="20"/>
          <w:lang w:val="es-ES_tradnl"/>
        </w:rPr>
        <w:t xml:space="preserve"> el 6 de julio de 1998 </w:t>
      </w:r>
      <w:r w:rsidR="002F547E" w:rsidRPr="002F30E4">
        <w:rPr>
          <w:rFonts w:asciiTheme="majorHAnsi" w:hAnsiTheme="majorHAnsi"/>
          <w:sz w:val="20"/>
          <w:szCs w:val="20"/>
          <w:lang w:val="es-ES_tradnl"/>
        </w:rPr>
        <w:t>dicha corporación</w:t>
      </w:r>
      <w:r w:rsidR="00587A5A" w:rsidRPr="002F30E4">
        <w:rPr>
          <w:rFonts w:asciiTheme="majorHAnsi" w:hAnsiTheme="majorHAnsi"/>
          <w:sz w:val="20"/>
          <w:szCs w:val="20"/>
          <w:lang w:val="es-ES_tradnl"/>
        </w:rPr>
        <w:t xml:space="preserve"> firmó un acuerdo con el </w:t>
      </w:r>
      <w:r w:rsidR="00587A5A" w:rsidRPr="002F30E4">
        <w:rPr>
          <w:rFonts w:asciiTheme="majorHAnsi" w:eastAsia="Times New Roman" w:hAnsiTheme="majorHAnsi"/>
          <w:sz w:val="20"/>
          <w:szCs w:val="20"/>
          <w:bdr w:val="none" w:sz="0" w:space="0" w:color="auto"/>
          <w:lang w:val="es-ES_tradnl"/>
        </w:rPr>
        <w:t>Fondo de Garantías de Instituciones Financieras (en adelante, “FOGAFÍN”)</w:t>
      </w:r>
      <w:r w:rsidR="008B5E10" w:rsidRPr="002F30E4">
        <w:rPr>
          <w:rStyle w:val="FootnoteReference"/>
          <w:rFonts w:asciiTheme="majorHAnsi" w:eastAsia="Times New Roman" w:hAnsiTheme="majorHAnsi"/>
          <w:sz w:val="20"/>
          <w:szCs w:val="20"/>
          <w:bdr w:val="none" w:sz="0" w:space="0" w:color="auto"/>
          <w:lang w:val="es-ES_tradnl"/>
        </w:rPr>
        <w:footnoteReference w:id="6"/>
      </w:r>
      <w:r w:rsidR="00587A5A" w:rsidRPr="002F30E4">
        <w:rPr>
          <w:rFonts w:asciiTheme="majorHAnsi" w:eastAsia="Times New Roman" w:hAnsiTheme="majorHAnsi"/>
          <w:sz w:val="20"/>
          <w:szCs w:val="20"/>
          <w:bdr w:val="none" w:sz="0" w:space="0" w:color="auto"/>
          <w:lang w:val="es-ES_tradnl"/>
        </w:rPr>
        <w:t xml:space="preserve">, mediante el </w:t>
      </w:r>
      <w:r w:rsidR="00A64708" w:rsidRPr="002F30E4">
        <w:rPr>
          <w:rFonts w:asciiTheme="majorHAnsi" w:eastAsia="Times New Roman" w:hAnsiTheme="majorHAnsi"/>
          <w:sz w:val="20"/>
          <w:szCs w:val="20"/>
          <w:bdr w:val="none" w:sz="0" w:space="0" w:color="auto"/>
          <w:lang w:val="es-ES_tradnl"/>
        </w:rPr>
        <w:t>cual</w:t>
      </w:r>
      <w:r w:rsidR="00587A5A" w:rsidRPr="002F30E4">
        <w:rPr>
          <w:rFonts w:asciiTheme="majorHAnsi" w:eastAsia="Times New Roman" w:hAnsiTheme="majorHAnsi"/>
          <w:sz w:val="20"/>
          <w:szCs w:val="20"/>
          <w:bdr w:val="none" w:sz="0" w:space="0" w:color="auto"/>
          <w:lang w:val="es-ES_tradnl"/>
        </w:rPr>
        <w:t xml:space="preserve"> </w:t>
      </w:r>
      <w:r w:rsidR="00FA1E3C" w:rsidRPr="002F30E4">
        <w:rPr>
          <w:rFonts w:asciiTheme="majorHAnsi" w:eastAsia="Times New Roman" w:hAnsiTheme="majorHAnsi"/>
          <w:sz w:val="20"/>
          <w:szCs w:val="20"/>
          <w:bdr w:val="none" w:sz="0" w:space="0" w:color="auto"/>
          <w:lang w:val="es-ES_tradnl"/>
        </w:rPr>
        <w:t>esta entidad</w:t>
      </w:r>
      <w:r w:rsidR="00587A5A" w:rsidRPr="002F30E4">
        <w:rPr>
          <w:rFonts w:asciiTheme="majorHAnsi" w:eastAsia="Times New Roman" w:hAnsiTheme="majorHAnsi"/>
          <w:sz w:val="20"/>
          <w:szCs w:val="20"/>
          <w:bdr w:val="none" w:sz="0" w:space="0" w:color="auto"/>
          <w:lang w:val="es-ES_tradnl"/>
        </w:rPr>
        <w:t xml:space="preserve"> se </w:t>
      </w:r>
      <w:r w:rsidR="00A64708" w:rsidRPr="002F30E4">
        <w:rPr>
          <w:rFonts w:asciiTheme="majorHAnsi" w:eastAsia="Times New Roman" w:hAnsiTheme="majorHAnsi"/>
          <w:sz w:val="20"/>
          <w:szCs w:val="20"/>
          <w:bdr w:val="none" w:sz="0" w:space="0" w:color="auto"/>
          <w:lang w:val="es-ES_tradnl"/>
        </w:rPr>
        <w:t>obligó</w:t>
      </w:r>
      <w:r w:rsidR="00587A5A" w:rsidRPr="002F30E4">
        <w:rPr>
          <w:rFonts w:asciiTheme="majorHAnsi" w:eastAsia="Times New Roman" w:hAnsiTheme="majorHAnsi"/>
          <w:sz w:val="20"/>
          <w:szCs w:val="20"/>
          <w:bdr w:val="none" w:sz="0" w:space="0" w:color="auto"/>
          <w:lang w:val="es-ES_tradnl"/>
        </w:rPr>
        <w:t xml:space="preserve"> a pagar a </w:t>
      </w:r>
      <w:r w:rsidR="00284522" w:rsidRPr="002F30E4">
        <w:rPr>
          <w:rFonts w:asciiTheme="majorHAnsi" w:eastAsia="Times New Roman" w:hAnsiTheme="majorHAnsi"/>
          <w:sz w:val="20"/>
          <w:szCs w:val="20"/>
          <w:bdr w:val="none" w:sz="0" w:space="0" w:color="auto"/>
          <w:lang w:val="es-ES_tradnl"/>
        </w:rPr>
        <w:t>Granahorrar un</w:t>
      </w:r>
      <w:r w:rsidR="00913C68" w:rsidRPr="002F30E4">
        <w:rPr>
          <w:rFonts w:asciiTheme="majorHAnsi" w:eastAsia="Times New Roman" w:hAnsiTheme="majorHAnsi"/>
          <w:sz w:val="20"/>
          <w:szCs w:val="20"/>
          <w:bdr w:val="none" w:sz="0" w:space="0" w:color="auto"/>
          <w:lang w:val="es-ES_tradnl"/>
        </w:rPr>
        <w:t xml:space="preserve"> </w:t>
      </w:r>
      <w:r w:rsidR="00587A5A" w:rsidRPr="002F30E4">
        <w:rPr>
          <w:rFonts w:asciiTheme="majorHAnsi" w:eastAsia="Times New Roman" w:hAnsiTheme="majorHAnsi"/>
          <w:sz w:val="20"/>
          <w:szCs w:val="20"/>
          <w:bdr w:val="none" w:sz="0" w:space="0" w:color="auto"/>
          <w:lang w:val="es-ES_tradnl"/>
        </w:rPr>
        <w:t>cupo de aval rotatorio por hasta 300,000,000</w:t>
      </w:r>
      <w:r w:rsidR="005C3873" w:rsidRPr="002F30E4">
        <w:rPr>
          <w:rFonts w:asciiTheme="majorHAnsi" w:eastAsia="Times New Roman" w:hAnsiTheme="majorHAnsi"/>
          <w:sz w:val="20"/>
          <w:szCs w:val="20"/>
          <w:bdr w:val="none" w:sz="0" w:space="0" w:color="auto"/>
          <w:lang w:val="es-ES_tradnl"/>
        </w:rPr>
        <w:t>,000</w:t>
      </w:r>
      <w:r w:rsidR="00EA5852" w:rsidRPr="002F30E4">
        <w:rPr>
          <w:rFonts w:asciiTheme="majorHAnsi" w:eastAsia="Times New Roman" w:hAnsiTheme="majorHAnsi"/>
          <w:sz w:val="20"/>
          <w:szCs w:val="20"/>
          <w:bdr w:val="none" w:sz="0" w:space="0" w:color="auto"/>
          <w:lang w:val="es-ES_tradnl"/>
        </w:rPr>
        <w:t xml:space="preserve"> pesos </w:t>
      </w:r>
      <w:r w:rsidR="00A64708" w:rsidRPr="002F30E4">
        <w:rPr>
          <w:rFonts w:asciiTheme="majorHAnsi" w:eastAsia="Times New Roman" w:hAnsiTheme="majorHAnsi"/>
          <w:sz w:val="20"/>
          <w:szCs w:val="20"/>
          <w:bdr w:val="none" w:sz="0" w:space="0" w:color="auto"/>
          <w:lang w:val="es-ES_tradnl"/>
        </w:rPr>
        <w:t>(</w:t>
      </w:r>
      <w:r w:rsidR="007E5EF6" w:rsidRPr="002F30E4">
        <w:rPr>
          <w:rFonts w:asciiTheme="majorHAnsi" w:eastAsia="Times New Roman" w:hAnsiTheme="majorHAnsi"/>
          <w:sz w:val="20"/>
          <w:szCs w:val="20"/>
          <w:bdr w:val="none" w:sz="0" w:space="0" w:color="auto"/>
          <w:lang w:val="es-ES_tradnl"/>
        </w:rPr>
        <w:t xml:space="preserve">aproximadamente </w:t>
      </w:r>
      <w:r w:rsidR="007E5EF6" w:rsidRPr="002F30E4">
        <w:rPr>
          <w:rFonts w:asciiTheme="majorHAnsi" w:hAnsiTheme="majorHAnsi"/>
          <w:sz w:val="20"/>
          <w:szCs w:val="20"/>
          <w:lang w:val="es-ES_tradnl"/>
        </w:rPr>
        <w:t>USD$. 217,200</w:t>
      </w:r>
      <w:r w:rsidR="005C3873" w:rsidRPr="002F30E4">
        <w:rPr>
          <w:rFonts w:asciiTheme="majorHAnsi" w:hAnsiTheme="majorHAnsi"/>
          <w:sz w:val="20"/>
          <w:szCs w:val="20"/>
          <w:lang w:val="es-ES_tradnl"/>
        </w:rPr>
        <w:t>,000</w:t>
      </w:r>
      <w:r w:rsidR="00A64708" w:rsidRPr="002F30E4">
        <w:rPr>
          <w:rFonts w:asciiTheme="majorHAnsi" w:eastAsia="Times New Roman" w:hAnsiTheme="majorHAnsi"/>
          <w:sz w:val="20"/>
          <w:szCs w:val="20"/>
          <w:bdr w:val="none" w:sz="0" w:space="0" w:color="auto"/>
          <w:lang w:val="es-ES_tradnl"/>
        </w:rPr>
        <w:t>)</w:t>
      </w:r>
      <w:r w:rsidR="007E5EF6" w:rsidRPr="002F30E4">
        <w:rPr>
          <w:rStyle w:val="FootnoteReference"/>
          <w:rFonts w:asciiTheme="majorHAnsi" w:hAnsiTheme="majorHAnsi"/>
          <w:sz w:val="20"/>
          <w:szCs w:val="20"/>
          <w:lang w:val="es-ES_tradnl"/>
        </w:rPr>
        <w:footnoteReference w:id="7"/>
      </w:r>
      <w:r w:rsidR="00783B98" w:rsidRPr="002F30E4">
        <w:rPr>
          <w:rFonts w:asciiTheme="majorHAnsi" w:eastAsia="Times New Roman" w:hAnsiTheme="majorHAnsi"/>
          <w:sz w:val="20"/>
          <w:szCs w:val="20"/>
          <w:bdr w:val="none" w:sz="0" w:space="0" w:color="auto"/>
          <w:lang w:val="es-ES_tradnl"/>
        </w:rPr>
        <w:t xml:space="preserve">, destinado a garantizar el cumplimiento de sus obligaciones con otras entidades financieras </w:t>
      </w:r>
      <w:r w:rsidR="00F17E03" w:rsidRPr="002F30E4">
        <w:rPr>
          <w:rFonts w:asciiTheme="majorHAnsi" w:eastAsia="Times New Roman" w:hAnsiTheme="majorHAnsi"/>
          <w:sz w:val="20"/>
          <w:szCs w:val="20"/>
          <w:bdr w:val="none" w:sz="0" w:space="0" w:color="auto"/>
          <w:lang w:val="es-ES_tradnl"/>
        </w:rPr>
        <w:t>en razón de</w:t>
      </w:r>
      <w:r w:rsidR="00783B98" w:rsidRPr="002F30E4">
        <w:rPr>
          <w:rFonts w:asciiTheme="majorHAnsi" w:eastAsia="Times New Roman" w:hAnsiTheme="majorHAnsi"/>
          <w:sz w:val="20"/>
          <w:szCs w:val="20"/>
          <w:bdr w:val="none" w:sz="0" w:space="0" w:color="auto"/>
          <w:lang w:val="es-ES_tradnl"/>
        </w:rPr>
        <w:t xml:space="preserve"> créditos interbancarios</w:t>
      </w:r>
      <w:r w:rsidR="00FA1E3C" w:rsidRPr="002F30E4">
        <w:rPr>
          <w:rFonts w:asciiTheme="majorHAnsi" w:eastAsia="Times New Roman" w:hAnsiTheme="majorHAnsi"/>
          <w:sz w:val="20"/>
          <w:szCs w:val="20"/>
          <w:bdr w:val="none" w:sz="0" w:space="0" w:color="auto"/>
          <w:lang w:val="es-ES_tradnl"/>
        </w:rPr>
        <w:t>. Por su parte,</w:t>
      </w:r>
      <w:r w:rsidR="00587A5A" w:rsidRPr="002F30E4">
        <w:rPr>
          <w:rFonts w:asciiTheme="majorHAnsi" w:eastAsia="Times New Roman" w:hAnsiTheme="majorHAnsi"/>
          <w:sz w:val="20"/>
          <w:szCs w:val="20"/>
          <w:bdr w:val="none" w:sz="0" w:space="0" w:color="auto"/>
          <w:lang w:val="es-ES_tradnl"/>
        </w:rPr>
        <w:t xml:space="preserve"> </w:t>
      </w:r>
      <w:r w:rsidR="00587A5A" w:rsidRPr="002F30E4">
        <w:rPr>
          <w:rFonts w:asciiTheme="majorHAnsi" w:hAnsiTheme="majorHAnsi"/>
          <w:sz w:val="20"/>
          <w:szCs w:val="20"/>
          <w:lang w:val="es-ES_tradnl"/>
        </w:rPr>
        <w:t>Granahorrar</w:t>
      </w:r>
      <w:r w:rsidR="00587A5A" w:rsidRPr="002F30E4">
        <w:rPr>
          <w:rFonts w:asciiTheme="majorHAnsi" w:eastAsia="Times New Roman" w:hAnsiTheme="majorHAnsi"/>
          <w:sz w:val="20"/>
          <w:szCs w:val="20"/>
          <w:bdr w:val="none" w:sz="0" w:space="0" w:color="auto"/>
          <w:lang w:val="es-ES_tradnl"/>
        </w:rPr>
        <w:t xml:space="preserve"> </w:t>
      </w:r>
      <w:r w:rsidR="00913C68" w:rsidRPr="002F30E4">
        <w:rPr>
          <w:rFonts w:asciiTheme="majorHAnsi" w:eastAsia="Times New Roman" w:hAnsiTheme="majorHAnsi"/>
          <w:sz w:val="20"/>
          <w:szCs w:val="20"/>
          <w:bdr w:val="none" w:sz="0" w:space="0" w:color="auto"/>
          <w:lang w:val="es-ES_tradnl"/>
        </w:rPr>
        <w:t>otorgó en garantía</w:t>
      </w:r>
      <w:r w:rsidR="00587A5A" w:rsidRPr="002F30E4">
        <w:rPr>
          <w:rFonts w:asciiTheme="majorHAnsi" w:eastAsia="Times New Roman" w:hAnsiTheme="majorHAnsi"/>
          <w:sz w:val="20"/>
          <w:szCs w:val="20"/>
          <w:bdr w:val="none" w:sz="0" w:space="0" w:color="auto"/>
          <w:lang w:val="es-ES_tradnl"/>
        </w:rPr>
        <w:t xml:space="preserve"> a FOGAFÍN</w:t>
      </w:r>
      <w:r w:rsidR="00913C68" w:rsidRPr="002F30E4">
        <w:rPr>
          <w:rFonts w:asciiTheme="majorHAnsi" w:eastAsia="Times New Roman" w:hAnsiTheme="majorHAnsi"/>
          <w:sz w:val="20"/>
          <w:szCs w:val="20"/>
          <w:bdr w:val="none" w:sz="0" w:space="0" w:color="auto"/>
          <w:lang w:val="es-ES_tradnl"/>
        </w:rPr>
        <w:t xml:space="preserve"> su cartera hipotecaria</w:t>
      </w:r>
      <w:r w:rsidR="00587A5A" w:rsidRPr="002F30E4">
        <w:rPr>
          <w:rFonts w:asciiTheme="majorHAnsi" w:eastAsia="Times New Roman" w:hAnsiTheme="majorHAnsi"/>
          <w:sz w:val="20"/>
          <w:szCs w:val="20"/>
          <w:bdr w:val="none" w:sz="0" w:space="0" w:color="auto"/>
          <w:lang w:val="es-ES_tradnl"/>
        </w:rPr>
        <w:t>.</w:t>
      </w:r>
    </w:p>
    <w:p w14:paraId="1A181612" w14:textId="2F965F35" w:rsidR="00A96554" w:rsidRPr="002F30E4" w:rsidRDefault="00FA1E3C" w:rsidP="00A965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sz w:val="20"/>
          <w:szCs w:val="20"/>
          <w:bdr w:val="none" w:sz="0" w:space="0" w:color="auto"/>
          <w:lang w:val="es-ES_tradnl"/>
        </w:rPr>
      </w:pPr>
      <w:r w:rsidRPr="002F30E4">
        <w:rPr>
          <w:rFonts w:asciiTheme="majorHAnsi" w:eastAsia="Times New Roman" w:hAnsiTheme="majorHAnsi"/>
          <w:sz w:val="20"/>
          <w:szCs w:val="20"/>
          <w:bdr w:val="none" w:sz="0" w:space="0" w:color="auto"/>
          <w:lang w:val="es-ES_tradnl"/>
        </w:rPr>
        <w:t xml:space="preserve">No obstante, señalan </w:t>
      </w:r>
      <w:r w:rsidR="00394014" w:rsidRPr="002F30E4">
        <w:rPr>
          <w:rFonts w:asciiTheme="majorHAnsi" w:eastAsia="Times New Roman" w:hAnsiTheme="majorHAnsi"/>
          <w:sz w:val="20"/>
          <w:szCs w:val="20"/>
          <w:bdr w:val="none" w:sz="0" w:space="0" w:color="auto"/>
          <w:lang w:val="es-ES_tradnl"/>
        </w:rPr>
        <w:t xml:space="preserve">los peticionarios, </w:t>
      </w:r>
      <w:r w:rsidRPr="002F30E4">
        <w:rPr>
          <w:rFonts w:asciiTheme="majorHAnsi" w:eastAsia="Times New Roman" w:hAnsiTheme="majorHAnsi"/>
          <w:sz w:val="20"/>
          <w:szCs w:val="20"/>
          <w:bdr w:val="none" w:sz="0" w:space="0" w:color="auto"/>
          <w:lang w:val="es-ES_tradnl"/>
        </w:rPr>
        <w:t>e</w:t>
      </w:r>
      <w:r w:rsidR="00783B98" w:rsidRPr="002F30E4">
        <w:rPr>
          <w:rFonts w:asciiTheme="majorHAnsi" w:eastAsia="Times New Roman" w:hAnsiTheme="majorHAnsi"/>
          <w:sz w:val="20"/>
          <w:szCs w:val="20"/>
          <w:bdr w:val="none" w:sz="0" w:space="0" w:color="auto"/>
          <w:lang w:val="es-ES_tradnl"/>
        </w:rPr>
        <w:t>l 2 de octubre de 1998 la Supe</w:t>
      </w:r>
      <w:r w:rsidR="00274AEA" w:rsidRPr="002F30E4">
        <w:rPr>
          <w:rFonts w:asciiTheme="majorHAnsi" w:eastAsia="Times New Roman" w:hAnsiTheme="majorHAnsi"/>
          <w:sz w:val="20"/>
          <w:szCs w:val="20"/>
          <w:bdr w:val="none" w:sz="0" w:space="0" w:color="auto"/>
          <w:lang w:val="es-ES_tradnl"/>
        </w:rPr>
        <w:t>rintendencia Bancaria (actualmente Superintendencia Financiera</w:t>
      </w:r>
      <w:r w:rsidR="00F17E03" w:rsidRPr="002F30E4">
        <w:rPr>
          <w:rFonts w:asciiTheme="majorHAnsi" w:eastAsia="Times New Roman" w:hAnsiTheme="majorHAnsi"/>
          <w:sz w:val="20"/>
          <w:szCs w:val="20"/>
          <w:bdr w:val="none" w:sz="0" w:space="0" w:color="auto"/>
          <w:lang w:val="es-ES_tradnl"/>
        </w:rPr>
        <w:t xml:space="preserve"> de Colombia</w:t>
      </w:r>
      <w:r w:rsidR="00274AEA" w:rsidRPr="002F30E4">
        <w:rPr>
          <w:rFonts w:asciiTheme="majorHAnsi" w:eastAsia="Times New Roman" w:hAnsiTheme="majorHAnsi"/>
          <w:sz w:val="20"/>
          <w:szCs w:val="20"/>
          <w:bdr w:val="none" w:sz="0" w:space="0" w:color="auto"/>
          <w:lang w:val="es-ES_tradnl"/>
        </w:rPr>
        <w:t xml:space="preserve">) </w:t>
      </w:r>
      <w:r w:rsidR="00F8697B" w:rsidRPr="002F30E4">
        <w:rPr>
          <w:rFonts w:asciiTheme="majorHAnsi" w:eastAsia="Times New Roman" w:hAnsiTheme="majorHAnsi"/>
          <w:sz w:val="20"/>
          <w:szCs w:val="20"/>
          <w:bdr w:val="none" w:sz="0" w:space="0" w:color="auto"/>
          <w:lang w:val="es-ES_tradnl"/>
        </w:rPr>
        <w:t>determinó</w:t>
      </w:r>
      <w:r w:rsidR="00274AEA" w:rsidRPr="002F30E4">
        <w:rPr>
          <w:rFonts w:asciiTheme="majorHAnsi" w:eastAsia="Times New Roman" w:hAnsiTheme="majorHAnsi"/>
          <w:sz w:val="20"/>
          <w:szCs w:val="20"/>
          <w:bdr w:val="none" w:sz="0" w:space="0" w:color="auto"/>
          <w:lang w:val="es-ES_tradnl"/>
        </w:rPr>
        <w:t xml:space="preserve"> que Granahorrar había entrad</w:t>
      </w:r>
      <w:r w:rsidR="00A77863" w:rsidRPr="002F30E4">
        <w:rPr>
          <w:rFonts w:asciiTheme="majorHAnsi" w:eastAsia="Times New Roman" w:hAnsiTheme="majorHAnsi"/>
          <w:sz w:val="20"/>
          <w:szCs w:val="20"/>
          <w:bdr w:val="none" w:sz="0" w:space="0" w:color="auto"/>
          <w:lang w:val="es-ES_tradnl"/>
        </w:rPr>
        <w:t>o</w:t>
      </w:r>
      <w:r w:rsidR="00274AEA" w:rsidRPr="002F30E4">
        <w:rPr>
          <w:rFonts w:asciiTheme="majorHAnsi" w:eastAsia="Times New Roman" w:hAnsiTheme="majorHAnsi"/>
          <w:sz w:val="20"/>
          <w:szCs w:val="20"/>
          <w:bdr w:val="none" w:sz="0" w:space="0" w:color="auto"/>
          <w:lang w:val="es-ES_tradnl"/>
        </w:rPr>
        <w:t xml:space="preserve"> en “cesación de pagos”, por lo que la devolución de los prestamos adquiridos estaba en riesgo. En </w:t>
      </w:r>
      <w:r w:rsidR="004B6F65" w:rsidRPr="002F30E4">
        <w:rPr>
          <w:rFonts w:asciiTheme="majorHAnsi" w:eastAsia="Times New Roman" w:hAnsiTheme="majorHAnsi"/>
          <w:sz w:val="20"/>
          <w:szCs w:val="20"/>
          <w:bdr w:val="none" w:sz="0" w:space="0" w:color="auto"/>
          <w:lang w:val="es-ES_tradnl"/>
        </w:rPr>
        <w:t>consecuencia</w:t>
      </w:r>
      <w:r w:rsidR="00274AEA" w:rsidRPr="002F30E4">
        <w:rPr>
          <w:rFonts w:asciiTheme="majorHAnsi" w:eastAsia="Times New Roman" w:hAnsiTheme="majorHAnsi"/>
          <w:sz w:val="20"/>
          <w:szCs w:val="20"/>
          <w:bdr w:val="none" w:sz="0" w:space="0" w:color="auto"/>
          <w:lang w:val="es-ES_tradnl"/>
        </w:rPr>
        <w:t xml:space="preserve">, </w:t>
      </w:r>
      <w:r w:rsidR="004B6F65" w:rsidRPr="002F30E4">
        <w:rPr>
          <w:rFonts w:asciiTheme="majorHAnsi" w:eastAsia="Times New Roman" w:hAnsiTheme="majorHAnsi"/>
          <w:sz w:val="20"/>
          <w:szCs w:val="20"/>
          <w:bdr w:val="none" w:sz="0" w:space="0" w:color="auto"/>
          <w:lang w:val="es-ES_tradnl"/>
        </w:rPr>
        <w:t>ese</w:t>
      </w:r>
      <w:r w:rsidR="00274AEA" w:rsidRPr="002F30E4">
        <w:rPr>
          <w:rFonts w:asciiTheme="majorHAnsi" w:eastAsia="Times New Roman" w:hAnsiTheme="majorHAnsi"/>
          <w:sz w:val="20"/>
          <w:szCs w:val="20"/>
          <w:bdr w:val="none" w:sz="0" w:space="0" w:color="auto"/>
          <w:lang w:val="es-ES_tradnl"/>
        </w:rPr>
        <w:t xml:space="preserve"> mismo día FOGAFÍN </w:t>
      </w:r>
      <w:r w:rsidR="007832E7" w:rsidRPr="002F30E4">
        <w:rPr>
          <w:rFonts w:asciiTheme="majorHAnsi" w:eastAsia="Times New Roman" w:hAnsiTheme="majorHAnsi"/>
          <w:sz w:val="20"/>
          <w:szCs w:val="20"/>
          <w:bdr w:val="none" w:sz="0" w:space="0" w:color="auto"/>
          <w:lang w:val="es-ES_tradnl"/>
        </w:rPr>
        <w:t>dio</w:t>
      </w:r>
      <w:r w:rsidR="00274AEA" w:rsidRPr="002F30E4">
        <w:rPr>
          <w:rFonts w:asciiTheme="majorHAnsi" w:eastAsia="Times New Roman" w:hAnsiTheme="majorHAnsi"/>
          <w:sz w:val="20"/>
          <w:szCs w:val="20"/>
          <w:bdr w:val="none" w:sz="0" w:space="0" w:color="auto"/>
          <w:lang w:val="es-ES_tradnl"/>
        </w:rPr>
        <w:t xml:space="preserve"> por terminados los acuerdos existentes con Granahorrar</w:t>
      </w:r>
      <w:r w:rsidR="004B6F65" w:rsidRPr="002F30E4">
        <w:rPr>
          <w:rFonts w:asciiTheme="majorHAnsi" w:eastAsia="Times New Roman" w:hAnsiTheme="majorHAnsi"/>
          <w:sz w:val="20"/>
          <w:szCs w:val="20"/>
          <w:bdr w:val="none" w:sz="0" w:space="0" w:color="auto"/>
          <w:lang w:val="es-ES_tradnl"/>
        </w:rPr>
        <w:t>,</w:t>
      </w:r>
      <w:r w:rsidR="00274AEA" w:rsidRPr="002F30E4">
        <w:rPr>
          <w:rFonts w:asciiTheme="majorHAnsi" w:eastAsia="Times New Roman" w:hAnsiTheme="majorHAnsi"/>
          <w:sz w:val="20"/>
          <w:szCs w:val="20"/>
          <w:bdr w:val="none" w:sz="0" w:space="0" w:color="auto"/>
          <w:lang w:val="es-ES_tradnl"/>
        </w:rPr>
        <w:t xml:space="preserve"> y </w:t>
      </w:r>
      <w:r w:rsidR="007832E7" w:rsidRPr="002F30E4">
        <w:rPr>
          <w:rFonts w:asciiTheme="majorHAnsi" w:eastAsia="Times New Roman" w:hAnsiTheme="majorHAnsi"/>
          <w:sz w:val="20"/>
          <w:szCs w:val="20"/>
          <w:bdr w:val="none" w:sz="0" w:space="0" w:color="auto"/>
          <w:lang w:val="es-ES_tradnl"/>
        </w:rPr>
        <w:t>declaró</w:t>
      </w:r>
      <w:r w:rsidR="00274AEA" w:rsidRPr="002F30E4">
        <w:rPr>
          <w:rFonts w:asciiTheme="majorHAnsi" w:eastAsia="Times New Roman" w:hAnsiTheme="majorHAnsi"/>
          <w:sz w:val="20"/>
          <w:szCs w:val="20"/>
          <w:bdr w:val="none" w:sz="0" w:space="0" w:color="auto"/>
          <w:lang w:val="es-ES_tradnl"/>
        </w:rPr>
        <w:t xml:space="preserve"> la apropiación de toda su cartera </w:t>
      </w:r>
      <w:r w:rsidR="00DA3E01" w:rsidRPr="002F30E4">
        <w:rPr>
          <w:rFonts w:asciiTheme="majorHAnsi" w:eastAsia="Times New Roman" w:hAnsiTheme="majorHAnsi"/>
          <w:sz w:val="20"/>
          <w:szCs w:val="20"/>
          <w:bdr w:val="none" w:sz="0" w:space="0" w:color="auto"/>
          <w:lang w:val="es-ES_tradnl"/>
        </w:rPr>
        <w:t xml:space="preserve">hipotecaria </w:t>
      </w:r>
      <w:r w:rsidR="00274AEA" w:rsidRPr="002F30E4">
        <w:rPr>
          <w:rFonts w:asciiTheme="majorHAnsi" w:eastAsia="Times New Roman" w:hAnsiTheme="majorHAnsi"/>
          <w:sz w:val="20"/>
          <w:szCs w:val="20"/>
          <w:bdr w:val="none" w:sz="0" w:space="0" w:color="auto"/>
          <w:lang w:val="es-ES_tradnl"/>
        </w:rPr>
        <w:t xml:space="preserve">dada en garantía. Posteriormente, el Banco de la República también finalizó el convenio firmado con </w:t>
      </w:r>
      <w:r w:rsidR="004B6F65" w:rsidRPr="002F30E4">
        <w:rPr>
          <w:rFonts w:asciiTheme="majorHAnsi" w:eastAsia="Times New Roman" w:hAnsiTheme="majorHAnsi"/>
          <w:sz w:val="20"/>
          <w:szCs w:val="20"/>
          <w:bdr w:val="none" w:sz="0" w:space="0" w:color="auto"/>
          <w:lang w:val="es-ES_tradnl"/>
        </w:rPr>
        <w:t>Granahorrar</w:t>
      </w:r>
      <w:r w:rsidR="00274AEA" w:rsidRPr="002F30E4">
        <w:rPr>
          <w:rFonts w:asciiTheme="majorHAnsi" w:eastAsia="Times New Roman" w:hAnsiTheme="majorHAnsi"/>
          <w:sz w:val="20"/>
          <w:szCs w:val="20"/>
          <w:bdr w:val="none" w:sz="0" w:space="0" w:color="auto"/>
          <w:lang w:val="es-ES_tradnl"/>
        </w:rPr>
        <w:t>, agudizando su crisis financiera.</w:t>
      </w:r>
      <w:r w:rsidR="00851667" w:rsidRPr="002F30E4">
        <w:rPr>
          <w:rFonts w:asciiTheme="majorHAnsi" w:eastAsia="Times New Roman" w:hAnsiTheme="majorHAnsi"/>
          <w:sz w:val="20"/>
          <w:szCs w:val="20"/>
          <w:bdr w:val="none" w:sz="0" w:space="0" w:color="auto"/>
          <w:lang w:val="es-ES_tradnl"/>
        </w:rPr>
        <w:t xml:space="preserve"> A juicio de los peticionarios, la citada calificación de cesación de pagos no respondió a criterios técnicos adecuados y perjudicó sus posibilidades de pago, al permitir que FOGAFÍN y el Banco de la República no honraran sus obligaciones contractuales. </w:t>
      </w:r>
    </w:p>
    <w:p w14:paraId="232A4D8E" w14:textId="52CDCCA1" w:rsidR="00851667" w:rsidRPr="002F30E4" w:rsidRDefault="00274AEA" w:rsidP="008516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sz w:val="20"/>
          <w:szCs w:val="20"/>
          <w:bdr w:val="none" w:sz="0" w:space="0" w:color="auto"/>
          <w:lang w:val="es-ES_tradnl"/>
        </w:rPr>
      </w:pPr>
      <w:r w:rsidRPr="002F30E4">
        <w:rPr>
          <w:rFonts w:asciiTheme="majorHAnsi" w:eastAsia="Times New Roman" w:hAnsiTheme="majorHAnsi"/>
          <w:sz w:val="20"/>
          <w:szCs w:val="20"/>
          <w:bdr w:val="none" w:sz="0" w:space="0" w:color="auto"/>
          <w:lang w:val="es-ES_tradnl"/>
        </w:rPr>
        <w:t xml:space="preserve"> </w:t>
      </w:r>
      <w:r w:rsidR="00F7589F" w:rsidRPr="002F30E4">
        <w:rPr>
          <w:rFonts w:asciiTheme="majorHAnsi" w:eastAsia="Times New Roman" w:hAnsiTheme="majorHAnsi"/>
          <w:sz w:val="20"/>
          <w:szCs w:val="20"/>
          <w:bdr w:val="none" w:sz="0" w:space="0" w:color="auto"/>
          <w:lang w:val="es-ES_tradnl"/>
        </w:rPr>
        <w:t>Los peticionarios alegan</w:t>
      </w:r>
      <w:r w:rsidRPr="002F30E4">
        <w:rPr>
          <w:rFonts w:asciiTheme="majorHAnsi" w:eastAsia="Times New Roman" w:hAnsiTheme="majorHAnsi"/>
          <w:sz w:val="20"/>
          <w:szCs w:val="20"/>
          <w:bdr w:val="none" w:sz="0" w:space="0" w:color="auto"/>
          <w:lang w:val="es-ES_tradnl"/>
        </w:rPr>
        <w:t xml:space="preserve"> que</w:t>
      </w:r>
      <w:r w:rsidR="00A96554" w:rsidRPr="002F30E4">
        <w:rPr>
          <w:rFonts w:asciiTheme="majorHAnsi" w:eastAsia="Times New Roman" w:hAnsiTheme="majorHAnsi"/>
          <w:sz w:val="20"/>
          <w:szCs w:val="20"/>
          <w:bdr w:val="none" w:sz="0" w:space="0" w:color="auto"/>
          <w:lang w:val="es-ES_tradnl"/>
        </w:rPr>
        <w:t xml:space="preserve"> </w:t>
      </w:r>
      <w:r w:rsidR="00DA3E01" w:rsidRPr="002F30E4">
        <w:rPr>
          <w:rFonts w:asciiTheme="majorHAnsi" w:eastAsia="Times New Roman" w:hAnsiTheme="majorHAnsi"/>
          <w:sz w:val="20"/>
          <w:szCs w:val="20"/>
          <w:bdr w:val="none" w:sz="0" w:space="0" w:color="auto"/>
          <w:lang w:val="es-ES_tradnl"/>
        </w:rPr>
        <w:t xml:space="preserve">las citadas </w:t>
      </w:r>
      <w:r w:rsidR="00DF44BF" w:rsidRPr="002F30E4">
        <w:rPr>
          <w:rFonts w:asciiTheme="majorHAnsi" w:eastAsia="Times New Roman" w:hAnsiTheme="majorHAnsi"/>
          <w:sz w:val="20"/>
          <w:szCs w:val="20"/>
          <w:bdr w:val="none" w:sz="0" w:space="0" w:color="auto"/>
          <w:lang w:val="es-ES_tradnl"/>
        </w:rPr>
        <w:t>actuaciones</w:t>
      </w:r>
      <w:r w:rsidR="00DA3E01" w:rsidRPr="002F30E4">
        <w:rPr>
          <w:rFonts w:asciiTheme="majorHAnsi" w:eastAsia="Times New Roman" w:hAnsiTheme="majorHAnsi"/>
          <w:sz w:val="20"/>
          <w:szCs w:val="20"/>
          <w:bdr w:val="none" w:sz="0" w:space="0" w:color="auto"/>
          <w:lang w:val="es-ES_tradnl"/>
        </w:rPr>
        <w:t xml:space="preserve"> </w:t>
      </w:r>
      <w:r w:rsidR="00DF44BF" w:rsidRPr="002F30E4">
        <w:rPr>
          <w:rFonts w:asciiTheme="majorHAnsi" w:eastAsia="Times New Roman" w:hAnsiTheme="majorHAnsi"/>
          <w:sz w:val="20"/>
          <w:szCs w:val="20"/>
          <w:bdr w:val="none" w:sz="0" w:space="0" w:color="auto"/>
          <w:lang w:val="es-ES_tradnl"/>
        </w:rPr>
        <w:t>de</w:t>
      </w:r>
      <w:r w:rsidR="00DA3E01" w:rsidRPr="002F30E4">
        <w:rPr>
          <w:rFonts w:asciiTheme="majorHAnsi" w:eastAsia="Times New Roman" w:hAnsiTheme="majorHAnsi"/>
          <w:sz w:val="20"/>
          <w:szCs w:val="20"/>
          <w:bdr w:val="none" w:sz="0" w:space="0" w:color="auto"/>
          <w:lang w:val="es-ES_tradnl"/>
        </w:rPr>
        <w:t xml:space="preserve"> FOGAFÍN y el Banco de la República</w:t>
      </w:r>
      <w:r w:rsidR="00A96554" w:rsidRPr="002F30E4">
        <w:rPr>
          <w:rFonts w:asciiTheme="majorHAnsi" w:eastAsia="Times New Roman" w:hAnsiTheme="majorHAnsi"/>
          <w:sz w:val="20"/>
          <w:szCs w:val="20"/>
          <w:bdr w:val="none" w:sz="0" w:space="0" w:color="auto"/>
          <w:lang w:val="es-ES_tradnl"/>
        </w:rPr>
        <w:t xml:space="preserve"> provocaron que la Superintendencia Bancaria califique a Granahorrar como una empresa </w:t>
      </w:r>
      <w:r w:rsidR="00E269B3" w:rsidRPr="002F30E4">
        <w:rPr>
          <w:rFonts w:asciiTheme="majorHAnsi" w:eastAsia="Times New Roman" w:hAnsiTheme="majorHAnsi"/>
          <w:sz w:val="20"/>
          <w:szCs w:val="20"/>
          <w:bdr w:val="none" w:sz="0" w:space="0" w:color="auto"/>
          <w:lang w:val="es-ES_tradnl"/>
        </w:rPr>
        <w:t xml:space="preserve">legalmente </w:t>
      </w:r>
      <w:r w:rsidR="00A96554" w:rsidRPr="002F30E4">
        <w:rPr>
          <w:rFonts w:asciiTheme="majorHAnsi" w:eastAsia="Times New Roman" w:hAnsiTheme="majorHAnsi"/>
          <w:sz w:val="20"/>
          <w:szCs w:val="20"/>
          <w:bdr w:val="none" w:sz="0" w:space="0" w:color="auto"/>
          <w:lang w:val="es-ES_tradnl"/>
        </w:rPr>
        <w:t xml:space="preserve">“insolvente”. </w:t>
      </w:r>
      <w:r w:rsidR="00F7589F" w:rsidRPr="002F30E4">
        <w:rPr>
          <w:rFonts w:asciiTheme="majorHAnsi" w:eastAsia="Times New Roman" w:hAnsiTheme="majorHAnsi"/>
          <w:sz w:val="20"/>
          <w:szCs w:val="20"/>
          <w:bdr w:val="none" w:sz="0" w:space="0" w:color="auto"/>
          <w:lang w:val="es-ES_tradnl"/>
        </w:rPr>
        <w:t>Sostienen</w:t>
      </w:r>
      <w:r w:rsidR="00A96554" w:rsidRPr="002F30E4">
        <w:rPr>
          <w:rFonts w:asciiTheme="majorHAnsi" w:eastAsia="Times New Roman" w:hAnsiTheme="majorHAnsi"/>
          <w:sz w:val="20"/>
          <w:szCs w:val="20"/>
          <w:bdr w:val="none" w:sz="0" w:space="0" w:color="auto"/>
          <w:lang w:val="es-ES_tradnl"/>
        </w:rPr>
        <w:t xml:space="preserve"> </w:t>
      </w:r>
      <w:r w:rsidR="00284522" w:rsidRPr="002F30E4">
        <w:rPr>
          <w:rFonts w:asciiTheme="majorHAnsi" w:eastAsia="Times New Roman" w:hAnsiTheme="majorHAnsi"/>
          <w:sz w:val="20"/>
          <w:szCs w:val="20"/>
          <w:bdr w:val="none" w:sz="0" w:space="0" w:color="auto"/>
          <w:lang w:val="es-ES_tradnl"/>
        </w:rPr>
        <w:t>que,</w:t>
      </w:r>
      <w:r w:rsidR="00A96554" w:rsidRPr="002F30E4">
        <w:rPr>
          <w:rFonts w:asciiTheme="majorHAnsi" w:eastAsia="Times New Roman" w:hAnsiTheme="majorHAnsi"/>
          <w:sz w:val="20"/>
          <w:szCs w:val="20"/>
          <w:bdr w:val="none" w:sz="0" w:space="0" w:color="auto"/>
          <w:lang w:val="es-ES_tradnl"/>
        </w:rPr>
        <w:t xml:space="preserve"> debido a </w:t>
      </w:r>
      <w:r w:rsidR="00502BB6" w:rsidRPr="002F30E4">
        <w:rPr>
          <w:rFonts w:asciiTheme="majorHAnsi" w:eastAsia="Times New Roman" w:hAnsiTheme="majorHAnsi"/>
          <w:sz w:val="20"/>
          <w:szCs w:val="20"/>
          <w:bdr w:val="none" w:sz="0" w:space="0" w:color="auto"/>
          <w:lang w:val="es-ES_tradnl"/>
        </w:rPr>
        <w:t>esta</w:t>
      </w:r>
      <w:r w:rsidR="00A96554" w:rsidRPr="002F30E4">
        <w:rPr>
          <w:rFonts w:asciiTheme="majorHAnsi" w:eastAsia="Times New Roman" w:hAnsiTheme="majorHAnsi"/>
          <w:sz w:val="20"/>
          <w:szCs w:val="20"/>
          <w:bdr w:val="none" w:sz="0" w:space="0" w:color="auto"/>
          <w:lang w:val="es-ES_tradnl"/>
        </w:rPr>
        <w:t xml:space="preserve">, el 3 </w:t>
      </w:r>
      <w:r w:rsidRPr="002F30E4">
        <w:rPr>
          <w:rFonts w:asciiTheme="majorHAnsi" w:eastAsia="Times New Roman" w:hAnsiTheme="majorHAnsi"/>
          <w:sz w:val="20"/>
          <w:szCs w:val="20"/>
          <w:bdr w:val="none" w:sz="0" w:space="0" w:color="auto"/>
          <w:lang w:val="es-ES_tradnl"/>
        </w:rPr>
        <w:t xml:space="preserve">de octubre </w:t>
      </w:r>
      <w:r w:rsidR="00A96554" w:rsidRPr="002F30E4">
        <w:rPr>
          <w:rFonts w:asciiTheme="majorHAnsi" w:eastAsia="Times New Roman" w:hAnsiTheme="majorHAnsi"/>
          <w:sz w:val="20"/>
          <w:szCs w:val="20"/>
          <w:bdr w:val="none" w:sz="0" w:space="0" w:color="auto"/>
          <w:lang w:val="es-ES_tradnl"/>
        </w:rPr>
        <w:t xml:space="preserve">de 1998 </w:t>
      </w:r>
      <w:r w:rsidR="007D42EF" w:rsidRPr="002F30E4">
        <w:rPr>
          <w:rFonts w:asciiTheme="majorHAnsi" w:eastAsia="Times New Roman" w:hAnsiTheme="majorHAnsi"/>
          <w:sz w:val="20"/>
          <w:szCs w:val="20"/>
          <w:bdr w:val="none" w:sz="0" w:space="0" w:color="auto"/>
          <w:lang w:val="es-ES_tradnl"/>
        </w:rPr>
        <w:t xml:space="preserve">la Superintendencia Bancaria notificó al representante legal de Granahorrar una </w:t>
      </w:r>
      <w:r w:rsidR="00F7589F" w:rsidRPr="002F30E4">
        <w:rPr>
          <w:rFonts w:asciiTheme="majorHAnsi" w:eastAsia="Times New Roman" w:hAnsiTheme="majorHAnsi"/>
          <w:sz w:val="20"/>
          <w:szCs w:val="20"/>
          <w:bdr w:val="none" w:sz="0" w:space="0" w:color="auto"/>
          <w:lang w:val="es-ES_tradnl"/>
        </w:rPr>
        <w:t>o</w:t>
      </w:r>
      <w:r w:rsidR="007D42EF" w:rsidRPr="002F30E4">
        <w:rPr>
          <w:rFonts w:asciiTheme="majorHAnsi" w:eastAsia="Times New Roman" w:hAnsiTheme="majorHAnsi"/>
          <w:sz w:val="20"/>
          <w:szCs w:val="20"/>
          <w:bdr w:val="none" w:sz="0" w:space="0" w:color="auto"/>
          <w:lang w:val="es-ES_tradnl"/>
        </w:rPr>
        <w:t xml:space="preserve">rden de </w:t>
      </w:r>
      <w:r w:rsidR="00F7589F" w:rsidRPr="002F30E4">
        <w:rPr>
          <w:rFonts w:asciiTheme="majorHAnsi" w:eastAsia="Times New Roman" w:hAnsiTheme="majorHAnsi"/>
          <w:sz w:val="20"/>
          <w:szCs w:val="20"/>
          <w:bdr w:val="none" w:sz="0" w:space="0" w:color="auto"/>
          <w:lang w:val="es-ES_tradnl"/>
        </w:rPr>
        <w:t>c</w:t>
      </w:r>
      <w:r w:rsidR="007D42EF" w:rsidRPr="002F30E4">
        <w:rPr>
          <w:rFonts w:asciiTheme="majorHAnsi" w:eastAsia="Times New Roman" w:hAnsiTheme="majorHAnsi"/>
          <w:sz w:val="20"/>
          <w:szCs w:val="20"/>
          <w:bdr w:val="none" w:sz="0" w:space="0" w:color="auto"/>
          <w:lang w:val="es-ES_tradnl"/>
        </w:rPr>
        <w:t>apitalización</w:t>
      </w:r>
      <w:r w:rsidR="00FA1E3C" w:rsidRPr="002F30E4">
        <w:rPr>
          <w:rFonts w:asciiTheme="majorHAnsi" w:eastAsia="Times New Roman" w:hAnsiTheme="majorHAnsi"/>
          <w:sz w:val="20"/>
          <w:szCs w:val="20"/>
          <w:bdr w:val="none" w:sz="0" w:space="0" w:color="auto"/>
          <w:lang w:val="es-ES_tradnl"/>
        </w:rPr>
        <w:t xml:space="preserve"> </w:t>
      </w:r>
      <w:r w:rsidR="00A96554" w:rsidRPr="002F30E4">
        <w:rPr>
          <w:rFonts w:asciiTheme="majorHAnsi" w:eastAsia="Times New Roman" w:hAnsiTheme="majorHAnsi"/>
          <w:sz w:val="20"/>
          <w:szCs w:val="20"/>
          <w:bdr w:val="none" w:sz="0" w:space="0" w:color="auto"/>
          <w:lang w:val="es-ES_tradnl"/>
        </w:rPr>
        <w:t>mediante la cual ordenó a los accionistas la capitalización de 157</w:t>
      </w:r>
      <w:r w:rsidR="0002041D" w:rsidRPr="002F30E4">
        <w:rPr>
          <w:rFonts w:asciiTheme="majorHAnsi" w:eastAsia="Times New Roman" w:hAnsiTheme="majorHAnsi"/>
          <w:sz w:val="20"/>
          <w:szCs w:val="20"/>
          <w:bdr w:val="none" w:sz="0" w:space="0" w:color="auto"/>
          <w:lang w:val="es-ES_tradnl"/>
        </w:rPr>
        <w:t>,</w:t>
      </w:r>
      <w:r w:rsidR="00A96554" w:rsidRPr="002F30E4">
        <w:rPr>
          <w:rFonts w:asciiTheme="majorHAnsi" w:eastAsia="Times New Roman" w:hAnsiTheme="majorHAnsi"/>
          <w:sz w:val="20"/>
          <w:szCs w:val="20"/>
          <w:bdr w:val="none" w:sz="0" w:space="0" w:color="auto"/>
          <w:lang w:val="es-ES_tradnl"/>
        </w:rPr>
        <w:t>000</w:t>
      </w:r>
      <w:r w:rsidR="0002041D" w:rsidRPr="002F30E4">
        <w:rPr>
          <w:rFonts w:asciiTheme="majorHAnsi" w:eastAsia="Times New Roman" w:hAnsiTheme="majorHAnsi"/>
          <w:sz w:val="20"/>
          <w:szCs w:val="20"/>
          <w:bdr w:val="none" w:sz="0" w:space="0" w:color="auto"/>
          <w:lang w:val="es-ES_tradnl"/>
        </w:rPr>
        <w:t>,</w:t>
      </w:r>
      <w:r w:rsidR="00A96554" w:rsidRPr="002F30E4">
        <w:rPr>
          <w:rFonts w:asciiTheme="majorHAnsi" w:eastAsia="Times New Roman" w:hAnsiTheme="majorHAnsi"/>
          <w:sz w:val="20"/>
          <w:szCs w:val="20"/>
          <w:bdr w:val="none" w:sz="0" w:space="0" w:color="auto"/>
          <w:lang w:val="es-ES_tradnl"/>
        </w:rPr>
        <w:t>000</w:t>
      </w:r>
      <w:r w:rsidR="005C3873" w:rsidRPr="002F30E4">
        <w:rPr>
          <w:rFonts w:asciiTheme="majorHAnsi" w:eastAsia="Times New Roman" w:hAnsiTheme="majorHAnsi"/>
          <w:sz w:val="20"/>
          <w:szCs w:val="20"/>
          <w:bdr w:val="none" w:sz="0" w:space="0" w:color="auto"/>
          <w:lang w:val="es-ES_tradnl"/>
        </w:rPr>
        <w:t>,000</w:t>
      </w:r>
      <w:r w:rsidR="0002041D" w:rsidRPr="002F30E4">
        <w:rPr>
          <w:rFonts w:asciiTheme="majorHAnsi" w:eastAsia="Times New Roman" w:hAnsiTheme="majorHAnsi"/>
          <w:sz w:val="20"/>
          <w:szCs w:val="20"/>
          <w:bdr w:val="none" w:sz="0" w:space="0" w:color="auto"/>
          <w:lang w:val="es-ES_tradnl"/>
        </w:rPr>
        <w:t xml:space="preserve"> pesos colombianos (aproximadamente </w:t>
      </w:r>
      <w:r w:rsidR="00CD32BD" w:rsidRPr="002F30E4">
        <w:rPr>
          <w:rFonts w:asciiTheme="majorHAnsi" w:eastAsia="Times New Roman" w:hAnsiTheme="majorHAnsi"/>
          <w:sz w:val="20"/>
          <w:szCs w:val="20"/>
          <w:bdr w:val="none" w:sz="0" w:space="0" w:color="auto"/>
          <w:lang w:val="es-ES_tradnl"/>
        </w:rPr>
        <w:t xml:space="preserve">USD$. </w:t>
      </w:r>
      <w:r w:rsidR="0002041D" w:rsidRPr="002F30E4">
        <w:rPr>
          <w:rFonts w:asciiTheme="majorHAnsi" w:eastAsia="Times New Roman" w:hAnsiTheme="majorHAnsi"/>
          <w:sz w:val="20"/>
          <w:szCs w:val="20"/>
          <w:bdr w:val="none" w:sz="0" w:space="0" w:color="auto"/>
          <w:lang w:val="es-ES_tradnl"/>
        </w:rPr>
        <w:t>115,790</w:t>
      </w:r>
      <w:r w:rsidR="005C3873" w:rsidRPr="002F30E4">
        <w:rPr>
          <w:rFonts w:asciiTheme="majorHAnsi" w:eastAsia="Times New Roman" w:hAnsiTheme="majorHAnsi"/>
          <w:sz w:val="20"/>
          <w:szCs w:val="20"/>
          <w:bdr w:val="none" w:sz="0" w:space="0" w:color="auto"/>
          <w:lang w:val="es-ES_tradnl"/>
        </w:rPr>
        <w:t>,000</w:t>
      </w:r>
      <w:r w:rsidR="0002041D" w:rsidRPr="002F30E4">
        <w:rPr>
          <w:rFonts w:asciiTheme="majorHAnsi" w:eastAsia="Times New Roman" w:hAnsiTheme="majorHAnsi"/>
          <w:sz w:val="20"/>
          <w:szCs w:val="20"/>
          <w:bdr w:val="none" w:sz="0" w:space="0" w:color="auto"/>
          <w:lang w:val="es-ES_tradnl"/>
        </w:rPr>
        <w:t>)</w:t>
      </w:r>
      <w:r w:rsidR="0002041D" w:rsidRPr="002F30E4">
        <w:rPr>
          <w:rStyle w:val="FootnoteReference"/>
          <w:rFonts w:asciiTheme="majorHAnsi" w:hAnsiTheme="majorHAnsi"/>
          <w:sz w:val="20"/>
          <w:szCs w:val="20"/>
          <w:lang w:val="es-ES_tradnl"/>
        </w:rPr>
        <w:footnoteReference w:id="8"/>
      </w:r>
      <w:r w:rsidR="00A96554" w:rsidRPr="002F30E4">
        <w:rPr>
          <w:rFonts w:asciiTheme="majorHAnsi" w:eastAsia="Times New Roman" w:hAnsiTheme="majorHAnsi"/>
          <w:sz w:val="20"/>
          <w:szCs w:val="20"/>
          <w:bdr w:val="none" w:sz="0" w:space="0" w:color="auto"/>
          <w:lang w:val="es-ES_tradnl"/>
        </w:rPr>
        <w:t xml:space="preserve"> a fin proteger a los ahorradores de la entidad y al sistema financiero en general. </w:t>
      </w:r>
      <w:r w:rsidR="00A77863" w:rsidRPr="002F30E4">
        <w:rPr>
          <w:rFonts w:asciiTheme="majorHAnsi" w:eastAsia="Times New Roman" w:hAnsiTheme="majorHAnsi"/>
          <w:sz w:val="20"/>
          <w:szCs w:val="20"/>
          <w:bdr w:val="none" w:sz="0" w:space="0" w:color="auto"/>
          <w:lang w:val="es-ES_tradnl"/>
        </w:rPr>
        <w:t xml:space="preserve">No obstante, los peticionarios denuncian que tal accionar se realizó </w:t>
      </w:r>
      <w:r w:rsidR="00F8697B" w:rsidRPr="002F30E4">
        <w:rPr>
          <w:rFonts w:asciiTheme="majorHAnsi" w:eastAsia="Times New Roman" w:hAnsiTheme="majorHAnsi"/>
          <w:sz w:val="20"/>
          <w:szCs w:val="20"/>
          <w:bdr w:val="none" w:sz="0" w:space="0" w:color="auto"/>
          <w:lang w:val="es-ES_tradnl"/>
        </w:rPr>
        <w:t xml:space="preserve">sin un </w:t>
      </w:r>
      <w:r w:rsidR="00A77863" w:rsidRPr="002F30E4">
        <w:rPr>
          <w:rFonts w:asciiTheme="majorHAnsi" w:eastAsia="Times New Roman" w:hAnsiTheme="majorHAnsi"/>
          <w:sz w:val="20"/>
          <w:szCs w:val="20"/>
          <w:bdr w:val="none" w:sz="0" w:space="0" w:color="auto"/>
          <w:lang w:val="es-ES_tradnl"/>
        </w:rPr>
        <w:t xml:space="preserve">procedimiento debido, </w:t>
      </w:r>
      <w:r w:rsidR="00F8697B" w:rsidRPr="002F30E4">
        <w:rPr>
          <w:rFonts w:asciiTheme="majorHAnsi" w:eastAsia="Times New Roman" w:hAnsiTheme="majorHAnsi"/>
          <w:sz w:val="20"/>
          <w:szCs w:val="20"/>
          <w:bdr w:val="none" w:sz="0" w:space="0" w:color="auto"/>
          <w:lang w:val="es-ES_tradnl"/>
        </w:rPr>
        <w:t>dado que no se notificó</w:t>
      </w:r>
      <w:r w:rsidR="00A77863" w:rsidRPr="002F30E4">
        <w:rPr>
          <w:rFonts w:asciiTheme="majorHAnsi" w:eastAsia="Times New Roman" w:hAnsiTheme="majorHAnsi"/>
          <w:sz w:val="20"/>
          <w:szCs w:val="20"/>
          <w:bdr w:val="none" w:sz="0" w:space="0" w:color="auto"/>
          <w:lang w:val="es-ES_tradnl"/>
        </w:rPr>
        <w:t xml:space="preserve"> </w:t>
      </w:r>
      <w:r w:rsidR="00F8697B" w:rsidRPr="002F30E4">
        <w:rPr>
          <w:rFonts w:asciiTheme="majorHAnsi" w:eastAsia="Times New Roman" w:hAnsiTheme="majorHAnsi"/>
          <w:sz w:val="20"/>
          <w:szCs w:val="20"/>
          <w:bdr w:val="none" w:sz="0" w:space="0" w:color="auto"/>
          <w:lang w:val="es-ES_tradnl"/>
        </w:rPr>
        <w:t>directamente</w:t>
      </w:r>
      <w:r w:rsidR="00A77863" w:rsidRPr="002F30E4">
        <w:rPr>
          <w:rFonts w:asciiTheme="majorHAnsi" w:eastAsia="Times New Roman" w:hAnsiTheme="majorHAnsi"/>
          <w:sz w:val="20"/>
          <w:szCs w:val="20"/>
          <w:bdr w:val="none" w:sz="0" w:space="0" w:color="auto"/>
          <w:lang w:val="es-ES_tradnl"/>
        </w:rPr>
        <w:t xml:space="preserve"> a cada uno de los accionistas </w:t>
      </w:r>
      <w:r w:rsidR="00A60FB8" w:rsidRPr="002F30E4">
        <w:rPr>
          <w:rFonts w:asciiTheme="majorHAnsi" w:eastAsia="Times New Roman" w:hAnsiTheme="majorHAnsi"/>
          <w:sz w:val="20"/>
          <w:szCs w:val="20"/>
          <w:bdr w:val="none" w:sz="0" w:space="0" w:color="auto"/>
          <w:lang w:val="es-ES_tradnl"/>
        </w:rPr>
        <w:t xml:space="preserve">–es decir, las seis empresas a las que se hace referencia en el párrafo 2 del presente informe–, </w:t>
      </w:r>
      <w:r w:rsidR="00A77863" w:rsidRPr="002F30E4">
        <w:rPr>
          <w:rFonts w:asciiTheme="majorHAnsi" w:eastAsia="Times New Roman" w:hAnsiTheme="majorHAnsi"/>
          <w:sz w:val="20"/>
          <w:szCs w:val="20"/>
          <w:bdr w:val="none" w:sz="0" w:space="0" w:color="auto"/>
          <w:lang w:val="es-ES_tradnl"/>
        </w:rPr>
        <w:t xml:space="preserve">y </w:t>
      </w:r>
      <w:r w:rsidR="00F7589F" w:rsidRPr="002F30E4">
        <w:rPr>
          <w:rFonts w:asciiTheme="majorHAnsi" w:eastAsia="Times New Roman" w:hAnsiTheme="majorHAnsi"/>
          <w:sz w:val="20"/>
          <w:szCs w:val="20"/>
          <w:bdr w:val="none" w:sz="0" w:space="0" w:color="auto"/>
          <w:lang w:val="es-ES_tradnl"/>
        </w:rPr>
        <w:t xml:space="preserve">no </w:t>
      </w:r>
      <w:r w:rsidR="00A77863" w:rsidRPr="002F30E4">
        <w:rPr>
          <w:rFonts w:asciiTheme="majorHAnsi" w:eastAsia="Times New Roman" w:hAnsiTheme="majorHAnsi"/>
          <w:sz w:val="20"/>
          <w:szCs w:val="20"/>
          <w:bdr w:val="none" w:sz="0" w:space="0" w:color="auto"/>
          <w:lang w:val="es-ES_tradnl"/>
        </w:rPr>
        <w:t xml:space="preserve">se estableció un plazo de cumplimiento razonable. </w:t>
      </w:r>
      <w:r w:rsidR="00F7589F" w:rsidRPr="002F30E4">
        <w:rPr>
          <w:rFonts w:asciiTheme="majorHAnsi" w:eastAsia="Times New Roman" w:hAnsiTheme="majorHAnsi"/>
          <w:sz w:val="20"/>
          <w:szCs w:val="20"/>
          <w:bdr w:val="none" w:sz="0" w:space="0" w:color="auto"/>
          <w:lang w:val="es-ES_tradnl"/>
        </w:rPr>
        <w:t>D</w:t>
      </w:r>
      <w:r w:rsidR="00A77863" w:rsidRPr="002F30E4">
        <w:rPr>
          <w:rFonts w:asciiTheme="majorHAnsi" w:eastAsia="Times New Roman" w:hAnsiTheme="majorHAnsi"/>
          <w:sz w:val="20"/>
          <w:szCs w:val="20"/>
          <w:bdr w:val="none" w:sz="0" w:space="0" w:color="auto"/>
          <w:lang w:val="es-ES_tradnl"/>
        </w:rPr>
        <w:t>ebido a la falta de pago de la citada orden</w:t>
      </w:r>
      <w:r w:rsidR="00F7589F" w:rsidRPr="002F30E4">
        <w:rPr>
          <w:rFonts w:asciiTheme="majorHAnsi" w:eastAsia="Times New Roman" w:hAnsiTheme="majorHAnsi"/>
          <w:sz w:val="20"/>
          <w:szCs w:val="20"/>
          <w:bdr w:val="none" w:sz="0" w:space="0" w:color="auto"/>
          <w:lang w:val="es-ES_tradnl"/>
        </w:rPr>
        <w:t xml:space="preserve"> de capitalización</w:t>
      </w:r>
      <w:r w:rsidR="00A77863" w:rsidRPr="002F30E4">
        <w:rPr>
          <w:rFonts w:asciiTheme="majorHAnsi" w:eastAsia="Times New Roman" w:hAnsiTheme="majorHAnsi"/>
          <w:sz w:val="20"/>
          <w:szCs w:val="20"/>
          <w:bdr w:val="none" w:sz="0" w:space="0" w:color="auto"/>
          <w:lang w:val="es-ES_tradnl"/>
        </w:rPr>
        <w:t xml:space="preserve">, el mismo 3 de octubre de 1997 el FOGAFÍN redujo el valor nominal de </w:t>
      </w:r>
      <w:r w:rsidR="00CD32BD" w:rsidRPr="002F30E4">
        <w:rPr>
          <w:rFonts w:asciiTheme="majorHAnsi" w:eastAsia="Times New Roman" w:hAnsiTheme="majorHAnsi"/>
          <w:sz w:val="20"/>
          <w:szCs w:val="20"/>
          <w:bdr w:val="none" w:sz="0" w:space="0" w:color="auto"/>
          <w:lang w:val="es-ES_tradnl"/>
        </w:rPr>
        <w:t>las</w:t>
      </w:r>
      <w:r w:rsidR="00A77863" w:rsidRPr="002F30E4">
        <w:rPr>
          <w:rFonts w:asciiTheme="majorHAnsi" w:eastAsia="Times New Roman" w:hAnsiTheme="majorHAnsi"/>
          <w:sz w:val="20"/>
          <w:szCs w:val="20"/>
          <w:bdr w:val="none" w:sz="0" w:space="0" w:color="auto"/>
          <w:lang w:val="es-ES_tradnl"/>
        </w:rPr>
        <w:t xml:space="preserve"> acciones</w:t>
      </w:r>
      <w:r w:rsidR="00A60FB8" w:rsidRPr="002F30E4">
        <w:rPr>
          <w:rFonts w:asciiTheme="majorHAnsi" w:eastAsia="Times New Roman" w:hAnsiTheme="majorHAnsi"/>
          <w:sz w:val="20"/>
          <w:szCs w:val="20"/>
          <w:bdr w:val="none" w:sz="0" w:space="0" w:color="auto"/>
          <w:lang w:val="es-ES_tradnl"/>
        </w:rPr>
        <w:t xml:space="preserve"> de Granahorrar</w:t>
      </w:r>
      <w:r w:rsidR="00F7589F" w:rsidRPr="002F30E4">
        <w:rPr>
          <w:rFonts w:asciiTheme="majorHAnsi" w:eastAsia="Times New Roman" w:hAnsiTheme="majorHAnsi"/>
          <w:sz w:val="20"/>
          <w:szCs w:val="20"/>
          <w:bdr w:val="none" w:sz="0" w:space="0" w:color="auto"/>
          <w:lang w:val="es-ES_tradnl"/>
        </w:rPr>
        <w:t>;</w:t>
      </w:r>
      <w:r w:rsidR="00A77863" w:rsidRPr="002F30E4">
        <w:rPr>
          <w:rFonts w:asciiTheme="majorHAnsi" w:eastAsia="Times New Roman" w:hAnsiTheme="majorHAnsi"/>
          <w:sz w:val="20"/>
          <w:szCs w:val="20"/>
          <w:bdr w:val="none" w:sz="0" w:space="0" w:color="auto"/>
          <w:lang w:val="es-ES_tradnl"/>
        </w:rPr>
        <w:t xml:space="preserve"> y finalmente</w:t>
      </w:r>
      <w:r w:rsidR="00CD32BD" w:rsidRPr="002F30E4">
        <w:rPr>
          <w:rFonts w:asciiTheme="majorHAnsi" w:eastAsia="Times New Roman" w:hAnsiTheme="majorHAnsi"/>
          <w:sz w:val="20"/>
          <w:szCs w:val="20"/>
          <w:bdr w:val="none" w:sz="0" w:space="0" w:color="auto"/>
          <w:lang w:val="es-ES_tradnl"/>
        </w:rPr>
        <w:t xml:space="preserve"> la</w:t>
      </w:r>
      <w:r w:rsidR="00A77863" w:rsidRPr="002F30E4">
        <w:rPr>
          <w:rFonts w:asciiTheme="majorHAnsi" w:eastAsia="Times New Roman" w:hAnsiTheme="majorHAnsi"/>
          <w:sz w:val="20"/>
          <w:szCs w:val="20"/>
          <w:bdr w:val="none" w:sz="0" w:space="0" w:color="auto"/>
          <w:lang w:val="es-ES_tradnl"/>
        </w:rPr>
        <w:t xml:space="preserve"> estatizó sin</w:t>
      </w:r>
      <w:r w:rsidR="00F8697B" w:rsidRPr="002F30E4">
        <w:rPr>
          <w:rFonts w:asciiTheme="majorHAnsi" w:eastAsia="Times New Roman" w:hAnsiTheme="majorHAnsi"/>
          <w:sz w:val="20"/>
          <w:szCs w:val="20"/>
          <w:bdr w:val="none" w:sz="0" w:space="0" w:color="auto"/>
          <w:lang w:val="es-ES_tradnl"/>
        </w:rPr>
        <w:t xml:space="preserve"> otorgar ningún pago por</w:t>
      </w:r>
      <w:r w:rsidR="00A77863" w:rsidRPr="002F30E4">
        <w:rPr>
          <w:rFonts w:asciiTheme="majorHAnsi" w:eastAsia="Times New Roman" w:hAnsiTheme="majorHAnsi"/>
          <w:sz w:val="20"/>
          <w:szCs w:val="20"/>
          <w:bdr w:val="none" w:sz="0" w:space="0" w:color="auto"/>
          <w:lang w:val="es-ES_tradnl"/>
        </w:rPr>
        <w:t xml:space="preserve"> indemnización. </w:t>
      </w:r>
    </w:p>
    <w:p w14:paraId="20446D61" w14:textId="0345E52D" w:rsidR="00F8697B" w:rsidRPr="002F30E4" w:rsidRDefault="004D4F44" w:rsidP="004C3E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sz w:val="20"/>
          <w:szCs w:val="20"/>
          <w:bdr w:val="none" w:sz="0" w:space="0" w:color="auto"/>
          <w:lang w:val="es-ES_tradnl"/>
        </w:rPr>
      </w:pPr>
      <w:r w:rsidRPr="002F30E4">
        <w:rPr>
          <w:rFonts w:asciiTheme="majorHAnsi" w:eastAsia="Times New Roman" w:hAnsiTheme="majorHAnsi"/>
          <w:sz w:val="20"/>
          <w:szCs w:val="20"/>
          <w:bdr w:val="none" w:sz="0" w:space="0" w:color="auto"/>
          <w:lang w:val="es-ES_tradnl"/>
        </w:rPr>
        <w:t>Los peticionarios i</w:t>
      </w:r>
      <w:r w:rsidR="00851667" w:rsidRPr="002F30E4">
        <w:rPr>
          <w:rFonts w:asciiTheme="majorHAnsi" w:eastAsia="Times New Roman" w:hAnsiTheme="majorHAnsi"/>
          <w:sz w:val="20"/>
          <w:szCs w:val="20"/>
          <w:bdr w:val="none" w:sz="0" w:space="0" w:color="auto"/>
          <w:lang w:val="es-ES_tradnl"/>
        </w:rPr>
        <w:t>ndican que a mediados del 2000 presentaron peticiones ante la Superintendencia Financiera y FOGAFÍN para conocer</w:t>
      </w:r>
      <w:r w:rsidR="00D868C9" w:rsidRPr="002F30E4">
        <w:rPr>
          <w:rFonts w:asciiTheme="majorHAnsi" w:eastAsia="Times New Roman" w:hAnsiTheme="majorHAnsi"/>
          <w:sz w:val="20"/>
          <w:szCs w:val="20"/>
          <w:bdr w:val="none" w:sz="0" w:space="0" w:color="auto"/>
          <w:lang w:val="es-ES_tradnl"/>
        </w:rPr>
        <w:t xml:space="preserve"> mayores detalles sobre las </w:t>
      </w:r>
      <w:r w:rsidR="0089082D" w:rsidRPr="002F30E4">
        <w:rPr>
          <w:rFonts w:asciiTheme="majorHAnsi" w:eastAsia="Times New Roman" w:hAnsiTheme="majorHAnsi"/>
          <w:sz w:val="20"/>
          <w:szCs w:val="20"/>
          <w:bdr w:val="none" w:sz="0" w:space="0" w:color="auto"/>
          <w:lang w:val="es-ES_tradnl"/>
        </w:rPr>
        <w:t>ó</w:t>
      </w:r>
      <w:r w:rsidR="00D868C9" w:rsidRPr="002F30E4">
        <w:rPr>
          <w:rFonts w:asciiTheme="majorHAnsi" w:eastAsia="Times New Roman" w:hAnsiTheme="majorHAnsi"/>
          <w:sz w:val="20"/>
          <w:szCs w:val="20"/>
          <w:bdr w:val="none" w:sz="0" w:space="0" w:color="auto"/>
          <w:lang w:val="es-ES_tradnl"/>
        </w:rPr>
        <w:t xml:space="preserve">rdenes de capitalización y reducción del valor nominal de las acciones. </w:t>
      </w:r>
      <w:r w:rsidR="00BC3803" w:rsidRPr="002F30E4">
        <w:rPr>
          <w:rFonts w:asciiTheme="majorHAnsi" w:eastAsia="Times New Roman" w:hAnsiTheme="majorHAnsi"/>
          <w:sz w:val="20"/>
          <w:szCs w:val="20"/>
          <w:bdr w:val="none" w:sz="0" w:space="0" w:color="auto"/>
          <w:lang w:val="es-ES_tradnl"/>
        </w:rPr>
        <w:t>Y</w:t>
      </w:r>
      <w:r w:rsidR="00D868C9" w:rsidRPr="002F30E4">
        <w:rPr>
          <w:rFonts w:asciiTheme="majorHAnsi" w:eastAsia="Times New Roman" w:hAnsiTheme="majorHAnsi"/>
          <w:sz w:val="20"/>
          <w:szCs w:val="20"/>
          <w:bdr w:val="none" w:sz="0" w:space="0" w:color="auto"/>
          <w:lang w:val="es-ES_tradnl"/>
        </w:rPr>
        <w:t xml:space="preserve"> que el 25 de julio de 2000 dichas autoridades respondieron </w:t>
      </w:r>
      <w:r w:rsidR="00BC3803" w:rsidRPr="002F30E4">
        <w:rPr>
          <w:rFonts w:asciiTheme="majorHAnsi" w:eastAsia="Times New Roman" w:hAnsiTheme="majorHAnsi"/>
          <w:sz w:val="20"/>
          <w:szCs w:val="20"/>
          <w:bdr w:val="none" w:sz="0" w:space="0" w:color="auto"/>
          <w:lang w:val="es-ES_tradnl"/>
        </w:rPr>
        <w:t>tales</w:t>
      </w:r>
      <w:r w:rsidR="00D868C9" w:rsidRPr="002F30E4">
        <w:rPr>
          <w:rFonts w:asciiTheme="majorHAnsi" w:eastAsia="Times New Roman" w:hAnsiTheme="majorHAnsi"/>
          <w:sz w:val="20"/>
          <w:szCs w:val="20"/>
          <w:bdr w:val="none" w:sz="0" w:space="0" w:color="auto"/>
          <w:lang w:val="es-ES_tradnl"/>
        </w:rPr>
        <w:t xml:space="preserve"> solicitudes y les entregaron por primera vez copia de los actos administrativos mencionados. En base a tales documentos, afirman que el 28 de julio de 2000 instauraron, en representación de sus empresas, una acción de nulidad y restablecimiento de derecho, cuestionando tanto la orden de capitalización como la orden de reducir el valor nominal de las acciones. Sin embargo, el 27 de julio de 2005 el Tribunal Administrativo de </w:t>
      </w:r>
      <w:r w:rsidR="00D868C9" w:rsidRPr="002F30E4">
        <w:rPr>
          <w:rFonts w:asciiTheme="majorHAnsi" w:eastAsia="Times New Roman" w:hAnsiTheme="majorHAnsi"/>
          <w:sz w:val="20"/>
          <w:szCs w:val="20"/>
          <w:bdr w:val="none" w:sz="0" w:space="0" w:color="auto"/>
          <w:lang w:val="es-ES_tradnl"/>
        </w:rPr>
        <w:lastRenderedPageBreak/>
        <w:t>Cundinamarca rechazó la demanda</w:t>
      </w:r>
      <w:r w:rsidR="0089082D" w:rsidRPr="002F30E4">
        <w:rPr>
          <w:rFonts w:asciiTheme="majorHAnsi" w:eastAsia="Times New Roman" w:hAnsiTheme="majorHAnsi"/>
          <w:sz w:val="20"/>
          <w:szCs w:val="20"/>
          <w:bdr w:val="none" w:sz="0" w:space="0" w:color="auto"/>
          <w:lang w:val="es-ES_tradnl"/>
        </w:rPr>
        <w:t>.</w:t>
      </w:r>
      <w:r w:rsidR="00D868C9" w:rsidRPr="002F30E4">
        <w:rPr>
          <w:rFonts w:asciiTheme="majorHAnsi" w:eastAsia="Times New Roman" w:hAnsiTheme="majorHAnsi"/>
          <w:sz w:val="20"/>
          <w:szCs w:val="20"/>
          <w:bdr w:val="none" w:sz="0" w:space="0" w:color="auto"/>
          <w:lang w:val="es-ES_tradnl"/>
        </w:rPr>
        <w:t xml:space="preserve"> </w:t>
      </w:r>
      <w:r w:rsidR="0089082D" w:rsidRPr="002F30E4">
        <w:rPr>
          <w:rFonts w:asciiTheme="majorHAnsi" w:eastAsia="Times New Roman" w:hAnsiTheme="majorHAnsi"/>
          <w:sz w:val="20"/>
          <w:szCs w:val="20"/>
          <w:bdr w:val="none" w:sz="0" w:space="0" w:color="auto"/>
          <w:lang w:val="es-ES_tradnl"/>
        </w:rPr>
        <w:t>Apelada esta</w:t>
      </w:r>
      <w:r w:rsidR="00D868C9" w:rsidRPr="002F30E4">
        <w:rPr>
          <w:rFonts w:asciiTheme="majorHAnsi" w:eastAsia="Times New Roman" w:hAnsiTheme="majorHAnsi"/>
          <w:sz w:val="20"/>
          <w:szCs w:val="20"/>
          <w:bdr w:val="none" w:sz="0" w:space="0" w:color="auto"/>
          <w:lang w:val="es-ES_tradnl"/>
        </w:rPr>
        <w:t xml:space="preserve"> decisión</w:t>
      </w:r>
      <w:r w:rsidR="0089082D" w:rsidRPr="002F30E4">
        <w:rPr>
          <w:rFonts w:asciiTheme="majorHAnsi" w:eastAsia="Times New Roman" w:hAnsiTheme="majorHAnsi"/>
          <w:sz w:val="20"/>
          <w:szCs w:val="20"/>
          <w:bdr w:val="none" w:sz="0" w:space="0" w:color="auto"/>
          <w:lang w:val="es-ES_tradnl"/>
        </w:rPr>
        <w:t>,</w:t>
      </w:r>
      <w:r w:rsidR="00D868C9" w:rsidRPr="002F30E4">
        <w:rPr>
          <w:rFonts w:asciiTheme="majorHAnsi" w:eastAsia="Times New Roman" w:hAnsiTheme="majorHAnsi"/>
          <w:sz w:val="20"/>
          <w:szCs w:val="20"/>
          <w:bdr w:val="none" w:sz="0" w:space="0" w:color="auto"/>
          <w:lang w:val="es-ES_tradnl"/>
        </w:rPr>
        <w:t xml:space="preserve"> el 1 de noviembre de 2007 la Sección Cuarta de la Sala de lo Contencioso Administrativo del Consejo de Estado revocó la decisión de primera instancia</w:t>
      </w:r>
      <w:r w:rsidR="00DF44BF" w:rsidRPr="002F30E4">
        <w:rPr>
          <w:rFonts w:asciiTheme="majorHAnsi" w:eastAsia="Times New Roman" w:hAnsiTheme="majorHAnsi"/>
          <w:sz w:val="20"/>
          <w:szCs w:val="20"/>
          <w:bdr w:val="none" w:sz="0" w:space="0" w:color="auto"/>
          <w:lang w:val="es-ES_tradnl"/>
        </w:rPr>
        <w:t>;</w:t>
      </w:r>
      <w:r w:rsidR="00D868C9" w:rsidRPr="002F30E4">
        <w:rPr>
          <w:rFonts w:asciiTheme="majorHAnsi" w:eastAsia="Times New Roman" w:hAnsiTheme="majorHAnsi"/>
          <w:sz w:val="20"/>
          <w:szCs w:val="20"/>
          <w:bdr w:val="none" w:sz="0" w:space="0" w:color="auto"/>
          <w:lang w:val="es-ES_tradnl"/>
        </w:rPr>
        <w:t xml:space="preserve"> declaró fundado el recurso</w:t>
      </w:r>
      <w:r w:rsidR="00DF44BF" w:rsidRPr="002F30E4">
        <w:rPr>
          <w:rFonts w:asciiTheme="majorHAnsi" w:eastAsia="Times New Roman" w:hAnsiTheme="majorHAnsi"/>
          <w:sz w:val="20"/>
          <w:szCs w:val="20"/>
          <w:bdr w:val="none" w:sz="0" w:space="0" w:color="auto"/>
          <w:lang w:val="es-ES_tradnl"/>
        </w:rPr>
        <w:t>;</w:t>
      </w:r>
      <w:r w:rsidR="00D868C9" w:rsidRPr="002F30E4">
        <w:rPr>
          <w:rFonts w:asciiTheme="majorHAnsi" w:eastAsia="Times New Roman" w:hAnsiTheme="majorHAnsi"/>
          <w:sz w:val="20"/>
          <w:szCs w:val="20"/>
          <w:bdr w:val="none" w:sz="0" w:space="0" w:color="auto"/>
          <w:lang w:val="es-ES_tradnl"/>
        </w:rPr>
        <w:t xml:space="preserve"> y dispuso la nulidad de los actos cuestionados, al considerar que </w:t>
      </w:r>
      <w:r w:rsidR="00DF44BF" w:rsidRPr="002F30E4">
        <w:rPr>
          <w:rFonts w:asciiTheme="majorHAnsi" w:eastAsia="Times New Roman" w:hAnsiTheme="majorHAnsi"/>
          <w:sz w:val="20"/>
          <w:szCs w:val="20"/>
          <w:bdr w:val="none" w:sz="0" w:space="0" w:color="auto"/>
          <w:lang w:val="es-ES_tradnl"/>
        </w:rPr>
        <w:t>afectó</w:t>
      </w:r>
      <w:r w:rsidR="00D868C9" w:rsidRPr="002F30E4">
        <w:rPr>
          <w:rFonts w:asciiTheme="majorHAnsi" w:eastAsia="Times New Roman" w:hAnsiTheme="majorHAnsi"/>
          <w:sz w:val="20"/>
          <w:szCs w:val="20"/>
          <w:bdr w:val="none" w:sz="0" w:space="0" w:color="auto"/>
          <w:lang w:val="es-ES_tradnl"/>
        </w:rPr>
        <w:t xml:space="preserve"> el derecho al debido proceso</w:t>
      </w:r>
      <w:r w:rsidR="00B30C04" w:rsidRPr="002F30E4">
        <w:rPr>
          <w:rFonts w:asciiTheme="majorHAnsi" w:eastAsia="Times New Roman" w:hAnsiTheme="majorHAnsi"/>
          <w:sz w:val="20"/>
          <w:szCs w:val="20"/>
          <w:bdr w:val="none" w:sz="0" w:space="0" w:color="auto"/>
          <w:lang w:val="es-ES_tradnl"/>
        </w:rPr>
        <w:t xml:space="preserve"> de las</w:t>
      </w:r>
      <w:r w:rsidR="00D875BC" w:rsidRPr="002F30E4">
        <w:rPr>
          <w:rFonts w:asciiTheme="majorHAnsi" w:eastAsia="Times New Roman" w:hAnsiTheme="majorHAnsi"/>
          <w:sz w:val="20"/>
          <w:szCs w:val="20"/>
          <w:bdr w:val="none" w:sz="0" w:space="0" w:color="auto"/>
          <w:lang w:val="es-ES_tradnl"/>
        </w:rPr>
        <w:t xml:space="preserve"> seis empresas</w:t>
      </w:r>
      <w:r w:rsidR="00065592" w:rsidRPr="002F30E4">
        <w:rPr>
          <w:rFonts w:asciiTheme="majorHAnsi" w:eastAsia="Times New Roman" w:hAnsiTheme="majorHAnsi"/>
          <w:sz w:val="20"/>
          <w:szCs w:val="20"/>
          <w:bdr w:val="none" w:sz="0" w:space="0" w:color="auto"/>
          <w:lang w:val="es-ES_tradnl"/>
        </w:rPr>
        <w:t>,</w:t>
      </w:r>
      <w:r w:rsidR="00D875BC" w:rsidRPr="002F30E4">
        <w:rPr>
          <w:rFonts w:asciiTheme="majorHAnsi" w:eastAsia="Times New Roman" w:hAnsiTheme="majorHAnsi"/>
          <w:sz w:val="20"/>
          <w:szCs w:val="20"/>
          <w:bdr w:val="none" w:sz="0" w:space="0" w:color="auto"/>
          <w:lang w:val="es-ES_tradnl"/>
        </w:rPr>
        <w:t xml:space="preserve"> propiedad de los peticionarios</w:t>
      </w:r>
      <w:r w:rsidR="00065592" w:rsidRPr="002F30E4">
        <w:rPr>
          <w:rFonts w:asciiTheme="majorHAnsi" w:eastAsia="Times New Roman" w:hAnsiTheme="majorHAnsi"/>
          <w:sz w:val="20"/>
          <w:szCs w:val="20"/>
          <w:bdr w:val="none" w:sz="0" w:space="0" w:color="auto"/>
          <w:lang w:val="es-ES_tradnl"/>
        </w:rPr>
        <w:t>,</w:t>
      </w:r>
      <w:r w:rsidR="00D875BC" w:rsidRPr="002F30E4">
        <w:rPr>
          <w:rFonts w:asciiTheme="majorHAnsi" w:eastAsia="Times New Roman" w:hAnsiTheme="majorHAnsi"/>
          <w:sz w:val="20"/>
          <w:szCs w:val="20"/>
          <w:bdr w:val="none" w:sz="0" w:space="0" w:color="auto"/>
          <w:lang w:val="es-ES_tradnl"/>
        </w:rPr>
        <w:t xml:space="preserve"> mencionadas en el párrafo 2 del presente informe. </w:t>
      </w:r>
    </w:p>
    <w:p w14:paraId="380A9CA1" w14:textId="766B2785" w:rsidR="00D868C9" w:rsidRPr="002F30E4" w:rsidRDefault="00D868C9" w:rsidP="00F869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sz w:val="20"/>
          <w:szCs w:val="20"/>
          <w:bdr w:val="none" w:sz="0" w:space="0" w:color="auto"/>
          <w:lang w:val="es-ES_tradnl"/>
        </w:rPr>
      </w:pPr>
      <w:r w:rsidRPr="002F30E4">
        <w:rPr>
          <w:rFonts w:asciiTheme="majorHAnsi" w:eastAsia="Times New Roman" w:hAnsiTheme="majorHAnsi"/>
          <w:sz w:val="20"/>
          <w:szCs w:val="20"/>
          <w:bdr w:val="none" w:sz="0" w:space="0" w:color="auto"/>
          <w:lang w:val="es-ES_tradnl"/>
        </w:rPr>
        <w:t xml:space="preserve">Especifican que la Superintendencia Bancaria y el FOGAFÍN interpusieron diversas acciones de tutela contra la citada decisión del Consejo de Estado, logrando que la Corte Constitucional de Colombia acumule y seleccione tales expedientes. </w:t>
      </w:r>
      <w:r w:rsidR="0089082D" w:rsidRPr="002F30E4">
        <w:rPr>
          <w:rFonts w:asciiTheme="majorHAnsi" w:eastAsia="Times New Roman" w:hAnsiTheme="majorHAnsi"/>
          <w:sz w:val="20"/>
          <w:szCs w:val="20"/>
          <w:bdr w:val="none" w:sz="0" w:space="0" w:color="auto"/>
          <w:lang w:val="es-ES_tradnl"/>
        </w:rPr>
        <w:t>Así,</w:t>
      </w:r>
      <w:r w:rsidRPr="002F30E4">
        <w:rPr>
          <w:rFonts w:asciiTheme="majorHAnsi" w:eastAsia="Times New Roman" w:hAnsiTheme="majorHAnsi"/>
          <w:sz w:val="20"/>
          <w:szCs w:val="20"/>
          <w:bdr w:val="none" w:sz="0" w:space="0" w:color="auto"/>
          <w:lang w:val="es-ES_tradnl"/>
        </w:rPr>
        <w:t xml:space="preserve"> </w:t>
      </w:r>
      <w:r w:rsidR="00F8697B" w:rsidRPr="002F30E4">
        <w:rPr>
          <w:rFonts w:asciiTheme="majorHAnsi" w:eastAsia="Times New Roman" w:hAnsiTheme="majorHAnsi"/>
          <w:sz w:val="20"/>
          <w:szCs w:val="20"/>
          <w:bdr w:val="none" w:sz="0" w:space="0" w:color="auto"/>
          <w:lang w:val="es-ES_tradnl"/>
        </w:rPr>
        <w:t>el 26 de mayo de 2011</w:t>
      </w:r>
      <w:r w:rsidR="004C3E70" w:rsidRPr="002F30E4">
        <w:rPr>
          <w:rFonts w:asciiTheme="majorHAnsi" w:eastAsia="Times New Roman" w:hAnsiTheme="majorHAnsi"/>
          <w:sz w:val="20"/>
          <w:szCs w:val="20"/>
          <w:bdr w:val="none" w:sz="0" w:space="0" w:color="auto"/>
          <w:lang w:val="es-ES_tradnl"/>
        </w:rPr>
        <w:t xml:space="preserve"> mediante sentencia de unificación,</w:t>
      </w:r>
      <w:r w:rsidRPr="002F30E4">
        <w:rPr>
          <w:rFonts w:asciiTheme="majorHAnsi" w:eastAsia="Times New Roman" w:hAnsiTheme="majorHAnsi"/>
          <w:sz w:val="20"/>
          <w:szCs w:val="20"/>
          <w:bdr w:val="none" w:sz="0" w:space="0" w:color="auto"/>
          <w:lang w:val="es-ES_tradnl"/>
        </w:rPr>
        <w:t xml:space="preserve"> </w:t>
      </w:r>
      <w:r w:rsidR="0089082D" w:rsidRPr="002F30E4">
        <w:rPr>
          <w:rFonts w:asciiTheme="majorHAnsi" w:eastAsia="Times New Roman" w:hAnsiTheme="majorHAnsi"/>
          <w:sz w:val="20"/>
          <w:szCs w:val="20"/>
          <w:bdr w:val="none" w:sz="0" w:space="0" w:color="auto"/>
          <w:lang w:val="es-ES_tradnl"/>
        </w:rPr>
        <w:t xml:space="preserve">la Corte Constitucional </w:t>
      </w:r>
      <w:r w:rsidR="00F8697B" w:rsidRPr="002F30E4">
        <w:rPr>
          <w:rFonts w:asciiTheme="majorHAnsi" w:eastAsia="Times New Roman" w:hAnsiTheme="majorHAnsi"/>
          <w:sz w:val="20"/>
          <w:szCs w:val="20"/>
          <w:bdr w:val="none" w:sz="0" w:space="0" w:color="auto"/>
          <w:lang w:val="es-ES_tradnl"/>
        </w:rPr>
        <w:t xml:space="preserve">declaró fundada la acción de tutela y revocó la decisión en favor de Granahorrar, argumentando que las cuestionadas </w:t>
      </w:r>
      <w:r w:rsidR="0089082D" w:rsidRPr="002F30E4">
        <w:rPr>
          <w:rFonts w:asciiTheme="majorHAnsi" w:eastAsia="Times New Roman" w:hAnsiTheme="majorHAnsi"/>
          <w:sz w:val="20"/>
          <w:szCs w:val="20"/>
          <w:bdr w:val="none" w:sz="0" w:space="0" w:color="auto"/>
          <w:lang w:val="es-ES_tradnl"/>
        </w:rPr>
        <w:t>ó</w:t>
      </w:r>
      <w:r w:rsidR="00F8697B" w:rsidRPr="002F30E4">
        <w:rPr>
          <w:rFonts w:asciiTheme="majorHAnsi" w:eastAsia="Times New Roman" w:hAnsiTheme="majorHAnsi"/>
          <w:sz w:val="20"/>
          <w:szCs w:val="20"/>
          <w:bdr w:val="none" w:sz="0" w:space="0" w:color="auto"/>
          <w:lang w:val="es-ES_tradnl"/>
        </w:rPr>
        <w:t xml:space="preserve">rdenes de capitalización y reducción del valor nominal de las acciones fueron debidamente notificadas </w:t>
      </w:r>
      <w:r w:rsidR="000E10E6" w:rsidRPr="002F30E4">
        <w:rPr>
          <w:rFonts w:asciiTheme="majorHAnsi" w:eastAsia="Times New Roman" w:hAnsiTheme="majorHAnsi"/>
          <w:sz w:val="20"/>
          <w:szCs w:val="20"/>
          <w:bdr w:val="none" w:sz="0" w:space="0" w:color="auto"/>
          <w:lang w:val="es-ES_tradnl"/>
        </w:rPr>
        <w:t>a su</w:t>
      </w:r>
      <w:r w:rsidR="00F8697B" w:rsidRPr="002F30E4">
        <w:rPr>
          <w:rFonts w:asciiTheme="majorHAnsi" w:eastAsia="Times New Roman" w:hAnsiTheme="majorHAnsi"/>
          <w:sz w:val="20"/>
          <w:szCs w:val="20"/>
          <w:bdr w:val="none" w:sz="0" w:space="0" w:color="auto"/>
          <w:lang w:val="es-ES_tradnl"/>
        </w:rPr>
        <w:t xml:space="preserve"> representante legal. Asimismo, </w:t>
      </w:r>
      <w:r w:rsidR="007F334C" w:rsidRPr="002F30E4">
        <w:rPr>
          <w:rFonts w:asciiTheme="majorHAnsi" w:eastAsia="Times New Roman" w:hAnsiTheme="majorHAnsi"/>
          <w:sz w:val="20"/>
          <w:szCs w:val="20"/>
          <w:bdr w:val="none" w:sz="0" w:space="0" w:color="auto"/>
          <w:lang w:val="es-ES_tradnl"/>
        </w:rPr>
        <w:t xml:space="preserve">la Corte Constitucional </w:t>
      </w:r>
      <w:r w:rsidR="00F8697B" w:rsidRPr="002F30E4">
        <w:rPr>
          <w:rFonts w:asciiTheme="majorHAnsi" w:eastAsia="Times New Roman" w:hAnsiTheme="majorHAnsi"/>
          <w:sz w:val="20"/>
          <w:szCs w:val="20"/>
          <w:bdr w:val="none" w:sz="0" w:space="0" w:color="auto"/>
          <w:lang w:val="es-ES_tradnl"/>
        </w:rPr>
        <w:t>consideró que tales medidas fueron utilizadas de manera razonable y que la acción de nulidad y restablecimiento de derechos fue interpuesta extemporáneamente, toda vez que la acción caducó a los cuatros meses de notificada la capitalización.</w:t>
      </w:r>
      <w:r w:rsidR="004C3E70" w:rsidRPr="002F30E4">
        <w:rPr>
          <w:rFonts w:asciiTheme="majorHAnsi" w:eastAsia="Times New Roman" w:hAnsiTheme="majorHAnsi"/>
          <w:sz w:val="20"/>
          <w:szCs w:val="20"/>
          <w:bdr w:val="none" w:sz="0" w:space="0" w:color="auto"/>
          <w:lang w:val="es-ES_tradnl"/>
        </w:rPr>
        <w:t xml:space="preserve"> Los peticionarios alegan que, en representación de sus empresas, interpusieron un recurso de nulidad, pero que el 25 de junio de 2014 la Corte Constitucional rechazó tal acción. </w:t>
      </w:r>
    </w:p>
    <w:p w14:paraId="5036A062" w14:textId="1568206E" w:rsidR="00851667" w:rsidRPr="002F30E4" w:rsidRDefault="00851667" w:rsidP="008516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sz w:val="20"/>
          <w:szCs w:val="20"/>
          <w:bdr w:val="none" w:sz="0" w:space="0" w:color="auto"/>
          <w:lang w:val="es-ES_tradnl"/>
        </w:rPr>
      </w:pPr>
      <w:r w:rsidRPr="002F30E4">
        <w:rPr>
          <w:rFonts w:asciiTheme="majorHAnsi" w:eastAsia="Times New Roman" w:hAnsiTheme="majorHAnsi"/>
          <w:sz w:val="20"/>
          <w:szCs w:val="20"/>
          <w:bdr w:val="none" w:sz="0" w:space="0" w:color="auto"/>
          <w:lang w:val="es-ES_tradnl"/>
        </w:rPr>
        <w:t xml:space="preserve"> </w:t>
      </w:r>
      <w:r w:rsidR="008E0C8E" w:rsidRPr="002F30E4">
        <w:rPr>
          <w:rFonts w:asciiTheme="majorHAnsi" w:eastAsia="Times New Roman" w:hAnsiTheme="majorHAnsi"/>
          <w:sz w:val="20"/>
          <w:szCs w:val="20"/>
          <w:bdr w:val="none" w:sz="0" w:space="0" w:color="auto"/>
          <w:lang w:val="es-ES_tradnl"/>
        </w:rPr>
        <w:t xml:space="preserve">Los peticionarios denuncian </w:t>
      </w:r>
      <w:r w:rsidR="00320D3E" w:rsidRPr="002F30E4">
        <w:rPr>
          <w:rFonts w:asciiTheme="majorHAnsi" w:eastAsia="Times New Roman" w:hAnsiTheme="majorHAnsi"/>
          <w:sz w:val="20"/>
          <w:szCs w:val="20"/>
          <w:bdr w:val="none" w:sz="0" w:space="0" w:color="auto"/>
          <w:lang w:val="es-ES_tradnl"/>
        </w:rPr>
        <w:t xml:space="preserve">que las referidas </w:t>
      </w:r>
      <w:r w:rsidR="003427CF" w:rsidRPr="002F30E4">
        <w:rPr>
          <w:rFonts w:asciiTheme="majorHAnsi" w:eastAsia="Times New Roman" w:hAnsiTheme="majorHAnsi"/>
          <w:sz w:val="20"/>
          <w:szCs w:val="20"/>
          <w:bdr w:val="none" w:sz="0" w:space="0" w:color="auto"/>
          <w:lang w:val="es-ES_tradnl"/>
        </w:rPr>
        <w:t>ó</w:t>
      </w:r>
      <w:r w:rsidR="00320D3E" w:rsidRPr="002F30E4">
        <w:rPr>
          <w:rFonts w:asciiTheme="majorHAnsi" w:eastAsia="Times New Roman" w:hAnsiTheme="majorHAnsi"/>
          <w:sz w:val="20"/>
          <w:szCs w:val="20"/>
          <w:bdr w:val="none" w:sz="0" w:space="0" w:color="auto"/>
          <w:lang w:val="es-ES_tradnl"/>
        </w:rPr>
        <w:t>rdenes de capitalización y reducción del valor nominal de sus acciones violaron sus derechos, toda vez que fueron aplicadas erróneamente y no fueron debidamente notificadas</w:t>
      </w:r>
      <w:r w:rsidR="004C3E70" w:rsidRPr="002F30E4">
        <w:rPr>
          <w:rFonts w:asciiTheme="majorHAnsi" w:eastAsia="Times New Roman" w:hAnsiTheme="majorHAnsi"/>
          <w:sz w:val="20"/>
          <w:szCs w:val="20"/>
          <w:bdr w:val="none" w:sz="0" w:space="0" w:color="auto"/>
          <w:lang w:val="es-ES_tradnl"/>
        </w:rPr>
        <w:t>. Asimismo, argumentan que la Comisión es competente para conocer la petición, pues “</w:t>
      </w:r>
      <w:r w:rsidR="004C3E70" w:rsidRPr="002F30E4">
        <w:rPr>
          <w:rFonts w:asciiTheme="majorHAnsi" w:eastAsia="Times New Roman" w:hAnsiTheme="majorHAnsi"/>
          <w:i/>
          <w:iCs/>
          <w:sz w:val="20"/>
          <w:szCs w:val="20"/>
          <w:bdr w:val="none" w:sz="0" w:space="0" w:color="auto"/>
          <w:lang w:val="es-ES_tradnl"/>
        </w:rPr>
        <w:t xml:space="preserve">las víctimas del presente caso son seres humanos </w:t>
      </w:r>
      <w:r w:rsidR="00CF7749" w:rsidRPr="002F30E4">
        <w:rPr>
          <w:rFonts w:asciiTheme="majorHAnsi" w:eastAsia="Times New Roman" w:hAnsiTheme="majorHAnsi"/>
          <w:i/>
          <w:iCs/>
          <w:sz w:val="20"/>
          <w:szCs w:val="20"/>
          <w:bdr w:val="none" w:sz="0" w:space="0" w:color="auto"/>
          <w:lang w:val="es-ES_tradnl"/>
        </w:rPr>
        <w:t>[</w:t>
      </w:r>
      <w:r w:rsidR="004C3E70" w:rsidRPr="002F30E4">
        <w:rPr>
          <w:rFonts w:asciiTheme="majorHAnsi" w:eastAsia="Times New Roman" w:hAnsiTheme="majorHAnsi"/>
          <w:i/>
          <w:iCs/>
          <w:sz w:val="20"/>
          <w:szCs w:val="20"/>
          <w:bdr w:val="none" w:sz="0" w:space="0" w:color="auto"/>
          <w:lang w:val="es-ES_tradnl"/>
        </w:rPr>
        <w:t>…</w:t>
      </w:r>
      <w:r w:rsidR="00CF7749" w:rsidRPr="002F30E4">
        <w:rPr>
          <w:rFonts w:asciiTheme="majorHAnsi" w:eastAsia="Times New Roman" w:hAnsiTheme="majorHAnsi"/>
          <w:i/>
          <w:iCs/>
          <w:sz w:val="20"/>
          <w:szCs w:val="20"/>
          <w:bdr w:val="none" w:sz="0" w:space="0" w:color="auto"/>
          <w:lang w:val="es-ES_tradnl"/>
        </w:rPr>
        <w:t>]</w:t>
      </w:r>
      <w:r w:rsidR="004C3E70" w:rsidRPr="002F30E4">
        <w:rPr>
          <w:rFonts w:asciiTheme="majorHAnsi" w:eastAsia="Times New Roman" w:hAnsiTheme="majorHAnsi"/>
          <w:i/>
          <w:iCs/>
          <w:sz w:val="20"/>
          <w:szCs w:val="20"/>
          <w:bdr w:val="none" w:sz="0" w:space="0" w:color="auto"/>
          <w:lang w:val="es-ES_tradnl"/>
        </w:rPr>
        <w:t xml:space="preserve">, todos miembros de la familia Carrizosa, </w:t>
      </w:r>
      <w:r w:rsidR="00CF7749" w:rsidRPr="002F30E4">
        <w:rPr>
          <w:rFonts w:asciiTheme="majorHAnsi" w:eastAsia="Times New Roman" w:hAnsiTheme="majorHAnsi"/>
          <w:i/>
          <w:iCs/>
          <w:sz w:val="20"/>
          <w:szCs w:val="20"/>
          <w:bdr w:val="none" w:sz="0" w:space="0" w:color="auto"/>
          <w:lang w:val="es-ES_tradnl"/>
        </w:rPr>
        <w:t>[</w:t>
      </w:r>
      <w:r w:rsidR="004C3E70" w:rsidRPr="002F30E4">
        <w:rPr>
          <w:rFonts w:asciiTheme="majorHAnsi" w:eastAsia="Times New Roman" w:hAnsiTheme="majorHAnsi"/>
          <w:i/>
          <w:iCs/>
          <w:sz w:val="20"/>
          <w:szCs w:val="20"/>
          <w:bdr w:val="none" w:sz="0" w:space="0" w:color="auto"/>
          <w:lang w:val="es-ES_tradnl"/>
        </w:rPr>
        <w:t>…</w:t>
      </w:r>
      <w:r w:rsidR="00CF7749" w:rsidRPr="002F30E4">
        <w:rPr>
          <w:rFonts w:asciiTheme="majorHAnsi" w:eastAsia="Times New Roman" w:hAnsiTheme="majorHAnsi"/>
          <w:i/>
          <w:iCs/>
          <w:sz w:val="20"/>
          <w:szCs w:val="20"/>
          <w:bdr w:val="none" w:sz="0" w:space="0" w:color="auto"/>
          <w:lang w:val="es-ES_tradnl"/>
        </w:rPr>
        <w:t>]</w:t>
      </w:r>
      <w:r w:rsidR="004C3E70" w:rsidRPr="002F30E4">
        <w:rPr>
          <w:rFonts w:asciiTheme="majorHAnsi" w:eastAsia="Times New Roman" w:hAnsiTheme="majorHAnsi"/>
          <w:i/>
          <w:iCs/>
          <w:sz w:val="20"/>
          <w:szCs w:val="20"/>
          <w:bdr w:val="none" w:sz="0" w:space="0" w:color="auto"/>
          <w:lang w:val="es-ES_tradnl"/>
        </w:rPr>
        <w:t xml:space="preserve">, y es como personas humanas que son propietarios de la </w:t>
      </w:r>
      <w:r w:rsidR="004C3E70" w:rsidRPr="002F30E4">
        <w:rPr>
          <w:rFonts w:asciiTheme="majorHAnsi" w:hAnsiTheme="majorHAnsi"/>
          <w:i/>
          <w:iCs/>
          <w:sz w:val="20"/>
          <w:szCs w:val="20"/>
          <w:lang w:val="es-ES_tradnl"/>
        </w:rPr>
        <w:t>Corporación Grancolombiana de Ahorro y Vivienda</w:t>
      </w:r>
      <w:r w:rsidR="004C3E70" w:rsidRPr="002F30E4">
        <w:rPr>
          <w:rFonts w:asciiTheme="majorHAnsi" w:eastAsia="Times New Roman" w:hAnsiTheme="majorHAnsi"/>
          <w:sz w:val="20"/>
          <w:szCs w:val="20"/>
          <w:bdr w:val="none" w:sz="0" w:space="0" w:color="auto"/>
          <w:lang w:val="es-ES_tradnl"/>
        </w:rPr>
        <w:t>”.  Resaltan que se han organizado “</w:t>
      </w:r>
      <w:r w:rsidR="004C3E70" w:rsidRPr="002F30E4">
        <w:rPr>
          <w:rFonts w:asciiTheme="majorHAnsi" w:eastAsia="Times New Roman" w:hAnsiTheme="majorHAnsi"/>
          <w:i/>
          <w:iCs/>
          <w:sz w:val="20"/>
          <w:szCs w:val="20"/>
          <w:bdr w:val="none" w:sz="0" w:space="0" w:color="auto"/>
          <w:lang w:val="es-ES_tradnl"/>
        </w:rPr>
        <w:t xml:space="preserve">como accionistas de una persona jurídica, para llevar a cabo sus propósitos de actividad económica por exigencia del </w:t>
      </w:r>
      <w:r w:rsidR="00CF7749" w:rsidRPr="002F30E4">
        <w:rPr>
          <w:rFonts w:asciiTheme="majorHAnsi" w:eastAsia="Times New Roman" w:hAnsiTheme="majorHAnsi"/>
          <w:i/>
          <w:iCs/>
          <w:sz w:val="20"/>
          <w:szCs w:val="20"/>
          <w:bdr w:val="none" w:sz="0" w:space="0" w:color="auto"/>
          <w:lang w:val="es-ES_tradnl"/>
        </w:rPr>
        <w:t>d</w:t>
      </w:r>
      <w:r w:rsidR="004C3E70" w:rsidRPr="002F30E4">
        <w:rPr>
          <w:rFonts w:asciiTheme="majorHAnsi" w:eastAsia="Times New Roman" w:hAnsiTheme="majorHAnsi"/>
          <w:i/>
          <w:iCs/>
          <w:sz w:val="20"/>
          <w:szCs w:val="20"/>
          <w:bdr w:val="none" w:sz="0" w:space="0" w:color="auto"/>
          <w:lang w:val="es-ES_tradnl"/>
        </w:rPr>
        <w:t>erecho interno del Estado</w:t>
      </w:r>
      <w:r w:rsidR="004C3E70" w:rsidRPr="002F30E4">
        <w:rPr>
          <w:rFonts w:asciiTheme="majorHAnsi" w:eastAsia="Times New Roman" w:hAnsiTheme="majorHAnsi"/>
          <w:sz w:val="20"/>
          <w:szCs w:val="20"/>
          <w:bdr w:val="none" w:sz="0" w:space="0" w:color="auto"/>
          <w:lang w:val="es-ES_tradnl"/>
        </w:rPr>
        <w:t>”, pues la legislación interna no les permitía desempeñar individualmente sus acciones financieras.</w:t>
      </w:r>
    </w:p>
    <w:p w14:paraId="36457F8A" w14:textId="2D0CFC6F" w:rsidR="00D8048E" w:rsidRPr="002F30E4" w:rsidRDefault="00FD1D0D" w:rsidP="00D804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F30E4">
        <w:rPr>
          <w:rFonts w:asciiTheme="majorHAnsi" w:hAnsiTheme="majorHAnsi"/>
          <w:sz w:val="20"/>
          <w:szCs w:val="20"/>
          <w:lang w:val="es-ES_tradnl"/>
        </w:rPr>
        <w:t xml:space="preserve">Por su parte, el Estado </w:t>
      </w:r>
      <w:r w:rsidR="00CA55C6" w:rsidRPr="002F30E4">
        <w:rPr>
          <w:rFonts w:asciiTheme="majorHAnsi" w:hAnsiTheme="majorHAnsi"/>
          <w:sz w:val="20"/>
          <w:szCs w:val="20"/>
          <w:lang w:val="es-ES_tradnl"/>
        </w:rPr>
        <w:t>colombiano argumenta</w:t>
      </w:r>
      <w:r w:rsidRPr="002F30E4">
        <w:rPr>
          <w:rFonts w:asciiTheme="majorHAnsi" w:hAnsiTheme="majorHAnsi"/>
          <w:sz w:val="20"/>
          <w:szCs w:val="20"/>
          <w:lang w:val="es-ES_tradnl"/>
        </w:rPr>
        <w:t xml:space="preserve"> que la CIDH carece de competencia </w:t>
      </w:r>
      <w:r w:rsidRPr="002F30E4">
        <w:rPr>
          <w:rFonts w:asciiTheme="majorHAnsi" w:hAnsiTheme="majorHAnsi"/>
          <w:i/>
          <w:iCs/>
          <w:sz w:val="20"/>
          <w:szCs w:val="20"/>
          <w:lang w:val="es-ES_tradnl"/>
        </w:rPr>
        <w:t>ratione personae</w:t>
      </w:r>
      <w:r w:rsidRPr="002F30E4">
        <w:rPr>
          <w:rFonts w:asciiTheme="majorHAnsi" w:hAnsiTheme="majorHAnsi"/>
          <w:sz w:val="20"/>
          <w:szCs w:val="20"/>
          <w:lang w:val="es-ES_tradnl"/>
        </w:rPr>
        <w:t xml:space="preserve"> para analizar la presente petición. </w:t>
      </w:r>
      <w:r w:rsidR="002878F8" w:rsidRPr="002F30E4">
        <w:rPr>
          <w:rFonts w:asciiTheme="majorHAnsi" w:hAnsiTheme="majorHAnsi"/>
          <w:sz w:val="20"/>
          <w:szCs w:val="20"/>
          <w:lang w:val="es-ES_tradnl"/>
        </w:rPr>
        <w:t>C</w:t>
      </w:r>
      <w:r w:rsidRPr="002F30E4">
        <w:rPr>
          <w:rFonts w:asciiTheme="majorHAnsi" w:hAnsiTheme="majorHAnsi"/>
          <w:sz w:val="20"/>
          <w:szCs w:val="20"/>
          <w:lang w:val="es-ES_tradnl"/>
        </w:rPr>
        <w:t xml:space="preserve">onforme a lo </w:t>
      </w:r>
      <w:r w:rsidR="002878F8" w:rsidRPr="002F30E4">
        <w:rPr>
          <w:rFonts w:asciiTheme="majorHAnsi" w:hAnsiTheme="majorHAnsi"/>
          <w:sz w:val="20"/>
          <w:szCs w:val="20"/>
          <w:lang w:val="es-ES_tradnl"/>
        </w:rPr>
        <w:t>establecido</w:t>
      </w:r>
      <w:r w:rsidRPr="002F30E4">
        <w:rPr>
          <w:rFonts w:asciiTheme="majorHAnsi" w:hAnsiTheme="majorHAnsi"/>
          <w:sz w:val="20"/>
          <w:szCs w:val="20"/>
          <w:lang w:val="es-ES_tradnl"/>
        </w:rPr>
        <w:t xml:space="preserve"> por la Corte Interamericana de Derechos</w:t>
      </w:r>
      <w:r w:rsidR="003B6A8A" w:rsidRPr="002F30E4">
        <w:rPr>
          <w:rFonts w:asciiTheme="majorHAnsi" w:hAnsiTheme="majorHAnsi"/>
          <w:sz w:val="20"/>
          <w:szCs w:val="20"/>
          <w:lang w:val="es-ES_tradnl"/>
        </w:rPr>
        <w:t xml:space="preserve"> </w:t>
      </w:r>
      <w:r w:rsidRPr="002F30E4">
        <w:rPr>
          <w:rFonts w:asciiTheme="majorHAnsi" w:hAnsiTheme="majorHAnsi"/>
          <w:sz w:val="20"/>
          <w:szCs w:val="20"/>
          <w:lang w:val="es-ES_tradnl"/>
        </w:rPr>
        <w:t xml:space="preserve">Humanos (en adelante, </w:t>
      </w:r>
      <w:r w:rsidR="005A354C" w:rsidRPr="002F30E4">
        <w:rPr>
          <w:rFonts w:asciiTheme="majorHAnsi" w:hAnsiTheme="majorHAnsi"/>
          <w:sz w:val="20"/>
          <w:szCs w:val="20"/>
          <w:lang w:val="es-ES_tradnl"/>
        </w:rPr>
        <w:t xml:space="preserve">“la </w:t>
      </w:r>
      <w:r w:rsidRPr="002F30E4">
        <w:rPr>
          <w:rFonts w:asciiTheme="majorHAnsi" w:hAnsiTheme="majorHAnsi"/>
          <w:sz w:val="20"/>
          <w:szCs w:val="20"/>
          <w:lang w:val="es-ES_tradnl"/>
        </w:rPr>
        <w:t>Corte IDH</w:t>
      </w:r>
      <w:r w:rsidR="005A354C" w:rsidRPr="002F30E4">
        <w:rPr>
          <w:rFonts w:asciiTheme="majorHAnsi" w:hAnsiTheme="majorHAnsi"/>
          <w:sz w:val="20"/>
          <w:szCs w:val="20"/>
          <w:lang w:val="es-ES_tradnl"/>
        </w:rPr>
        <w:t>”</w:t>
      </w:r>
      <w:r w:rsidRPr="002F30E4">
        <w:rPr>
          <w:rFonts w:asciiTheme="majorHAnsi" w:hAnsiTheme="majorHAnsi"/>
          <w:sz w:val="20"/>
          <w:szCs w:val="20"/>
          <w:lang w:val="es-ES_tradnl"/>
        </w:rPr>
        <w:t>) y la misma CIDH, las personas jurídicas no son titulares de</w:t>
      </w:r>
      <w:r w:rsidR="003B6A8A" w:rsidRPr="002F30E4">
        <w:rPr>
          <w:rFonts w:asciiTheme="majorHAnsi" w:hAnsiTheme="majorHAnsi"/>
          <w:sz w:val="20"/>
          <w:szCs w:val="20"/>
          <w:lang w:val="es-ES_tradnl"/>
        </w:rPr>
        <w:t xml:space="preserve"> los</w:t>
      </w:r>
      <w:r w:rsidRPr="002F30E4">
        <w:rPr>
          <w:rFonts w:asciiTheme="majorHAnsi" w:hAnsiTheme="majorHAnsi"/>
          <w:sz w:val="20"/>
          <w:szCs w:val="20"/>
          <w:lang w:val="es-ES_tradnl"/>
        </w:rPr>
        <w:t xml:space="preserve"> derechos previstos en la Convención Americana ni están </w:t>
      </w:r>
      <w:r w:rsidR="002F30E4" w:rsidRPr="002F30E4">
        <w:rPr>
          <w:rFonts w:asciiTheme="majorHAnsi" w:hAnsiTheme="majorHAnsi"/>
          <w:sz w:val="20"/>
          <w:szCs w:val="20"/>
          <w:lang w:val="es-ES_tradnl"/>
        </w:rPr>
        <w:t>sujetos</w:t>
      </w:r>
      <w:r w:rsidRPr="002F30E4">
        <w:rPr>
          <w:rFonts w:asciiTheme="majorHAnsi" w:hAnsiTheme="majorHAnsi"/>
          <w:sz w:val="20"/>
          <w:szCs w:val="20"/>
          <w:lang w:val="es-ES_tradnl"/>
        </w:rPr>
        <w:t xml:space="preserve"> a la protección de sus órganos.</w:t>
      </w:r>
      <w:r w:rsidR="003B6A8A" w:rsidRPr="002F30E4">
        <w:rPr>
          <w:rFonts w:asciiTheme="majorHAnsi" w:hAnsiTheme="majorHAnsi"/>
          <w:sz w:val="20"/>
          <w:szCs w:val="20"/>
          <w:lang w:val="es-ES_tradnl"/>
        </w:rPr>
        <w:t xml:space="preserve"> </w:t>
      </w:r>
      <w:r w:rsidR="002878F8" w:rsidRPr="002F30E4">
        <w:rPr>
          <w:rFonts w:asciiTheme="majorHAnsi" w:hAnsiTheme="majorHAnsi"/>
          <w:sz w:val="20"/>
          <w:szCs w:val="20"/>
          <w:lang w:val="es-ES_tradnl"/>
        </w:rPr>
        <w:t>S</w:t>
      </w:r>
      <w:r w:rsidR="003B6A8A" w:rsidRPr="002F30E4">
        <w:rPr>
          <w:rFonts w:asciiTheme="majorHAnsi" w:hAnsiTheme="majorHAnsi"/>
          <w:sz w:val="20"/>
          <w:szCs w:val="20"/>
          <w:lang w:val="es-ES_tradnl"/>
        </w:rPr>
        <w:t>ostiene que en el presente caso resulta claro que únicamente se están litigando los derechos de la persona jurídica involucrada, toda vez que: i) no existe una afectación real y directa a los derechos de la familia Carrizosa; ii) los recursos internos fueron resueltos en favor y en nombre de la persona jurídica, sin que se alegue algún interés jurídico de sus accionistas; y iii)</w:t>
      </w:r>
      <w:r w:rsidR="00320D3E" w:rsidRPr="002F30E4">
        <w:rPr>
          <w:rFonts w:asciiTheme="majorHAnsi" w:hAnsiTheme="majorHAnsi"/>
          <w:sz w:val="20"/>
          <w:szCs w:val="20"/>
          <w:lang w:val="es-ES_tradnl"/>
        </w:rPr>
        <w:t xml:space="preserve"> </w:t>
      </w:r>
      <w:r w:rsidR="00F37C97" w:rsidRPr="002F30E4">
        <w:rPr>
          <w:rFonts w:asciiTheme="majorHAnsi" w:hAnsiTheme="majorHAnsi"/>
          <w:sz w:val="20"/>
          <w:szCs w:val="20"/>
          <w:lang w:val="es-ES_tradnl"/>
        </w:rPr>
        <w:t xml:space="preserve"> </w:t>
      </w:r>
      <w:r w:rsidR="003B6A8A" w:rsidRPr="002F30E4">
        <w:rPr>
          <w:rFonts w:asciiTheme="majorHAnsi" w:hAnsiTheme="majorHAnsi"/>
          <w:sz w:val="20"/>
          <w:szCs w:val="20"/>
          <w:lang w:val="es-ES_tradnl"/>
        </w:rPr>
        <w:t xml:space="preserve">si bien la petición denuncia la violación de derechos de las personas naturales involucradas, </w:t>
      </w:r>
      <w:r w:rsidR="00F37C97" w:rsidRPr="002F30E4">
        <w:rPr>
          <w:rFonts w:asciiTheme="majorHAnsi" w:hAnsiTheme="majorHAnsi"/>
          <w:sz w:val="20"/>
          <w:szCs w:val="20"/>
          <w:lang w:val="es-ES_tradnl"/>
        </w:rPr>
        <w:t>no existe coincidencia entre los alegatos presentados en sede interna y los derechos denunciados en la petición.</w:t>
      </w:r>
      <w:r w:rsidR="003B6A8A" w:rsidRPr="002F30E4">
        <w:rPr>
          <w:rFonts w:asciiTheme="majorHAnsi" w:hAnsiTheme="majorHAnsi"/>
          <w:sz w:val="20"/>
          <w:szCs w:val="20"/>
          <w:lang w:val="es-ES_tradnl"/>
        </w:rPr>
        <w:t xml:space="preserve"> </w:t>
      </w:r>
    </w:p>
    <w:p w14:paraId="30A9861E" w14:textId="5A7F5016" w:rsidR="00D8048E" w:rsidRPr="002F30E4" w:rsidRDefault="00D8048E" w:rsidP="00D804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F30E4">
        <w:rPr>
          <w:rFonts w:asciiTheme="majorHAnsi" w:hAnsiTheme="majorHAnsi"/>
          <w:sz w:val="20"/>
          <w:szCs w:val="20"/>
          <w:lang w:val="es-ES_tradnl"/>
        </w:rPr>
        <w:t>En sustento de tales argumentos, el Estado aporta las siguientes decisiones: i) resolución d</w:t>
      </w:r>
      <w:r w:rsidRPr="002F30E4">
        <w:rPr>
          <w:rFonts w:asciiTheme="majorHAnsi" w:eastAsia="Times New Roman" w:hAnsiTheme="majorHAnsi"/>
          <w:sz w:val="20"/>
          <w:szCs w:val="20"/>
          <w:bdr w:val="none" w:sz="0" w:space="0" w:color="auto"/>
          <w:lang w:val="es-ES_tradnl"/>
        </w:rPr>
        <w:t>el 27 de julio de 2005 el Tribunal Administrativo de Cundinamarca</w:t>
      </w:r>
      <w:r w:rsidRPr="002F30E4">
        <w:rPr>
          <w:rFonts w:asciiTheme="majorHAnsi" w:hAnsiTheme="majorHAnsi"/>
          <w:sz w:val="20"/>
          <w:szCs w:val="20"/>
          <w:lang w:val="es-ES_tradnl"/>
        </w:rPr>
        <w:t xml:space="preserve">; ii) fallo del 1 de noviembre de 2007 de la Sección Cuarta de la Sala de lo Contencioso Administrativo del Consejo de Estado; y iii) sentencia de unificación del </w:t>
      </w:r>
      <w:r w:rsidRPr="002F30E4">
        <w:rPr>
          <w:rFonts w:asciiTheme="majorHAnsi" w:eastAsia="Times New Roman" w:hAnsiTheme="majorHAnsi"/>
          <w:sz w:val="20"/>
          <w:szCs w:val="20"/>
          <w:bdr w:val="none" w:sz="0" w:space="0" w:color="auto"/>
          <w:lang w:val="es-ES_tradnl"/>
        </w:rPr>
        <w:t>26 de mayo de 2011 de la Corte Constitucional.</w:t>
      </w:r>
      <w:r w:rsidRPr="002F30E4">
        <w:rPr>
          <w:rFonts w:asciiTheme="majorHAnsi" w:hAnsiTheme="majorHAnsi"/>
          <w:sz w:val="20"/>
          <w:szCs w:val="20"/>
          <w:lang w:val="es-ES_tradnl"/>
        </w:rPr>
        <w:t xml:space="preserve"> En estos fallos, se observa que los reclamantes </w:t>
      </w:r>
      <w:r w:rsidR="00EF535F" w:rsidRPr="002F30E4">
        <w:rPr>
          <w:rFonts w:asciiTheme="majorHAnsi" w:hAnsiTheme="majorHAnsi"/>
          <w:sz w:val="20"/>
          <w:szCs w:val="20"/>
          <w:lang w:val="es-ES_tradnl"/>
        </w:rPr>
        <w:t xml:space="preserve">en el proceso de nulidad y restablecimiento de derechos </w:t>
      </w:r>
      <w:r w:rsidRPr="002F30E4">
        <w:rPr>
          <w:rFonts w:asciiTheme="majorHAnsi" w:hAnsiTheme="majorHAnsi"/>
          <w:sz w:val="20"/>
          <w:szCs w:val="20"/>
          <w:lang w:val="es-ES_tradnl"/>
        </w:rPr>
        <w:t>fueron las personas jurídicas de derecho mercantil, consignadas en el párrafo 2</w:t>
      </w:r>
      <w:r w:rsidR="00B32881" w:rsidRPr="002F30E4">
        <w:rPr>
          <w:rFonts w:asciiTheme="majorHAnsi" w:hAnsiTheme="majorHAnsi"/>
          <w:sz w:val="20"/>
          <w:szCs w:val="20"/>
          <w:lang w:val="es-ES_tradnl"/>
        </w:rPr>
        <w:t xml:space="preserve"> del presente informe</w:t>
      </w:r>
      <w:r w:rsidRPr="002F30E4">
        <w:rPr>
          <w:rFonts w:asciiTheme="majorHAnsi" w:hAnsiTheme="majorHAnsi"/>
          <w:sz w:val="20"/>
          <w:szCs w:val="20"/>
          <w:lang w:val="es-ES_tradnl"/>
        </w:rPr>
        <w:t xml:space="preserve">, alegando violaciones de los derechos de los que estas serían titulares. Así, por ejemplo, la Sección Cuarta de la Sala de lo Contencioso Administrativo del Consejo de Estado dispuso en </w:t>
      </w:r>
      <w:r w:rsidR="00B32881" w:rsidRPr="002F30E4">
        <w:rPr>
          <w:rFonts w:asciiTheme="majorHAnsi" w:hAnsiTheme="majorHAnsi"/>
          <w:sz w:val="20"/>
          <w:szCs w:val="20"/>
          <w:lang w:val="es-ES_tradnl"/>
        </w:rPr>
        <w:t>la</w:t>
      </w:r>
      <w:r w:rsidRPr="002F30E4">
        <w:rPr>
          <w:rFonts w:asciiTheme="majorHAnsi" w:hAnsiTheme="majorHAnsi"/>
          <w:sz w:val="20"/>
          <w:szCs w:val="20"/>
          <w:lang w:val="es-ES_tradnl"/>
        </w:rPr>
        <w:t xml:space="preserve"> parte resolutiva</w:t>
      </w:r>
      <w:r w:rsidR="00B32881" w:rsidRPr="002F30E4">
        <w:rPr>
          <w:rFonts w:asciiTheme="majorHAnsi" w:hAnsiTheme="majorHAnsi"/>
          <w:sz w:val="20"/>
          <w:szCs w:val="20"/>
          <w:lang w:val="es-ES_tradnl"/>
        </w:rPr>
        <w:t xml:space="preserve"> de su fallo favorable a estas empresas</w:t>
      </w:r>
      <w:r w:rsidRPr="002F30E4">
        <w:rPr>
          <w:rFonts w:asciiTheme="majorHAnsi" w:hAnsiTheme="majorHAnsi"/>
          <w:sz w:val="20"/>
          <w:szCs w:val="20"/>
          <w:lang w:val="es-ES_tradnl"/>
        </w:rPr>
        <w:t xml:space="preserve">: </w:t>
      </w:r>
    </w:p>
    <w:p w14:paraId="2F8DDFBC" w14:textId="118B1E2F" w:rsidR="00D32844" w:rsidRPr="002F30E4" w:rsidRDefault="00D32844" w:rsidP="00B328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2F30E4">
        <w:rPr>
          <w:rFonts w:asciiTheme="majorHAnsi" w:hAnsiTheme="majorHAnsi"/>
          <w:sz w:val="20"/>
          <w:szCs w:val="20"/>
          <w:lang w:val="es-ES_tradnl"/>
        </w:rPr>
        <w:t>CONDENASE a la Superintendencia Bancaria y a FOGAFIN a pagar en un 50% cada una (sic), a favor de cada uno de los siguientes demandantes, por concepto de reparación del daño las sumas que a continuación se enlista</w:t>
      </w:r>
      <w:r w:rsidR="00B32881" w:rsidRPr="002F30E4">
        <w:rPr>
          <w:rFonts w:asciiTheme="majorHAnsi" w:hAnsiTheme="majorHAnsi"/>
          <w:sz w:val="20"/>
          <w:szCs w:val="20"/>
          <w:lang w:val="es-ES_tradnl"/>
        </w:rPr>
        <w:t>n</w:t>
      </w:r>
      <w:r w:rsidRPr="002F30E4">
        <w:rPr>
          <w:rFonts w:asciiTheme="majorHAnsi" w:hAnsiTheme="majorHAnsi"/>
          <w:sz w:val="20"/>
          <w:szCs w:val="20"/>
          <w:lang w:val="es-ES_tradnl"/>
        </w:rPr>
        <w:t xml:space="preserve">: </w:t>
      </w:r>
    </w:p>
    <w:p w14:paraId="75D15768" w14:textId="77777777" w:rsidR="008265D3" w:rsidRPr="002F30E4" w:rsidRDefault="00D32844" w:rsidP="00B328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2F30E4">
        <w:rPr>
          <w:rFonts w:asciiTheme="majorHAnsi" w:hAnsiTheme="majorHAnsi"/>
          <w:sz w:val="20"/>
          <w:szCs w:val="20"/>
          <w:lang w:val="es-ES_tradnl"/>
        </w:rPr>
        <w:t>Asesorías e Inversiones C.G. LTDA.: $69.037.385.563</w:t>
      </w:r>
    </w:p>
    <w:p w14:paraId="4B9D6F56" w14:textId="250617F2" w:rsidR="00D32844" w:rsidRPr="002F30E4" w:rsidRDefault="00D32844" w:rsidP="00B328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2F30E4">
        <w:rPr>
          <w:rFonts w:asciiTheme="majorHAnsi" w:hAnsiTheme="majorHAnsi"/>
          <w:sz w:val="20"/>
          <w:szCs w:val="20"/>
          <w:lang w:val="es-ES_tradnl"/>
        </w:rPr>
        <w:t>Inversiones Lieja: $39.413.060.603</w:t>
      </w:r>
    </w:p>
    <w:p w14:paraId="71C50CB5" w14:textId="77777777" w:rsidR="00D32844" w:rsidRPr="002F30E4" w:rsidRDefault="00D32844" w:rsidP="00B328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2F30E4">
        <w:rPr>
          <w:rFonts w:asciiTheme="majorHAnsi" w:hAnsiTheme="majorHAnsi"/>
          <w:sz w:val="20"/>
          <w:szCs w:val="20"/>
          <w:lang w:val="es-ES_tradnl"/>
        </w:rPr>
        <w:t>Exultar S.A.: $49.582.642.936</w:t>
      </w:r>
    </w:p>
    <w:p w14:paraId="2F856D1F" w14:textId="77777777" w:rsidR="00D32844" w:rsidRPr="002F30E4" w:rsidRDefault="00D32844" w:rsidP="00B328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2F30E4">
        <w:rPr>
          <w:rFonts w:asciiTheme="majorHAnsi" w:hAnsiTheme="majorHAnsi"/>
          <w:sz w:val="20"/>
          <w:szCs w:val="20"/>
          <w:lang w:val="es-ES_tradnl"/>
        </w:rPr>
        <w:lastRenderedPageBreak/>
        <w:t>Interventorías y Construcciones Ltda.: $1.873.557.491</w:t>
      </w:r>
    </w:p>
    <w:p w14:paraId="2CB8115C" w14:textId="77777777" w:rsidR="00D32844" w:rsidRPr="002F30E4" w:rsidRDefault="00D32844" w:rsidP="00B328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2F30E4">
        <w:rPr>
          <w:rFonts w:asciiTheme="majorHAnsi" w:hAnsiTheme="majorHAnsi"/>
          <w:sz w:val="20"/>
          <w:szCs w:val="20"/>
          <w:lang w:val="es-ES_tradnl"/>
        </w:rPr>
        <w:t>Fultiplex Ltda.: $19.711.158.677</w:t>
      </w:r>
    </w:p>
    <w:p w14:paraId="74691487" w14:textId="11A246B6" w:rsidR="00D8048E" w:rsidRPr="002F30E4" w:rsidRDefault="00D32844" w:rsidP="00B328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2F30E4">
        <w:rPr>
          <w:rFonts w:asciiTheme="majorHAnsi" w:hAnsiTheme="majorHAnsi"/>
          <w:sz w:val="20"/>
          <w:szCs w:val="20"/>
          <w:lang w:val="es-ES_tradnl"/>
        </w:rPr>
        <w:t>Compto S.A.: $47.343.432.465</w:t>
      </w:r>
    </w:p>
    <w:p w14:paraId="48B4E669" w14:textId="246A645A" w:rsidR="00D8048E" w:rsidRPr="002F30E4" w:rsidRDefault="00D8048E" w:rsidP="00D804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F30E4">
        <w:rPr>
          <w:rFonts w:asciiTheme="majorHAnsi" w:hAnsiTheme="majorHAnsi"/>
          <w:sz w:val="20"/>
          <w:szCs w:val="20"/>
          <w:lang w:val="es-ES_tradnl"/>
        </w:rPr>
        <w:t>En sentido similar, la Corte Constitucional</w:t>
      </w:r>
      <w:r w:rsidR="00EF535F" w:rsidRPr="002F30E4">
        <w:rPr>
          <w:rFonts w:asciiTheme="majorHAnsi" w:hAnsiTheme="majorHAnsi"/>
          <w:sz w:val="20"/>
          <w:szCs w:val="20"/>
          <w:lang w:val="es-ES_tradnl"/>
        </w:rPr>
        <w:t xml:space="preserve"> dispuso en </w:t>
      </w:r>
      <w:r w:rsidR="00AF0FD2" w:rsidRPr="002F30E4">
        <w:rPr>
          <w:rFonts w:asciiTheme="majorHAnsi" w:hAnsiTheme="majorHAnsi"/>
          <w:sz w:val="20"/>
          <w:szCs w:val="20"/>
          <w:lang w:val="es-ES_tradnl"/>
        </w:rPr>
        <w:t>la</w:t>
      </w:r>
      <w:r w:rsidR="00EF535F" w:rsidRPr="002F30E4">
        <w:rPr>
          <w:rFonts w:asciiTheme="majorHAnsi" w:hAnsiTheme="majorHAnsi"/>
          <w:sz w:val="20"/>
          <w:szCs w:val="20"/>
          <w:lang w:val="es-ES_tradnl"/>
        </w:rPr>
        <w:t xml:space="preserve"> parte resolutiva </w:t>
      </w:r>
      <w:r w:rsidR="00AF0FD2" w:rsidRPr="002F30E4">
        <w:rPr>
          <w:rFonts w:asciiTheme="majorHAnsi" w:hAnsiTheme="majorHAnsi"/>
          <w:sz w:val="20"/>
          <w:szCs w:val="20"/>
          <w:lang w:val="es-ES_tradnl"/>
        </w:rPr>
        <w:t xml:space="preserve">de su sentencia, </w:t>
      </w:r>
      <w:r w:rsidR="00AF0FD2" w:rsidRPr="002F30E4">
        <w:rPr>
          <w:rFonts w:asciiTheme="majorHAnsi" w:hAnsiTheme="majorHAnsi"/>
          <w:i/>
          <w:iCs/>
          <w:sz w:val="20"/>
          <w:szCs w:val="20"/>
          <w:lang w:val="es-ES_tradnl"/>
        </w:rPr>
        <w:t>inter alia</w:t>
      </w:r>
      <w:r w:rsidR="00AF0FD2" w:rsidRPr="002F30E4">
        <w:rPr>
          <w:rFonts w:asciiTheme="majorHAnsi" w:hAnsiTheme="majorHAnsi"/>
          <w:sz w:val="20"/>
          <w:szCs w:val="20"/>
          <w:lang w:val="es-ES_tradnl"/>
        </w:rPr>
        <w:t xml:space="preserve">, </w:t>
      </w:r>
      <w:r w:rsidR="00EF535F" w:rsidRPr="002F30E4">
        <w:rPr>
          <w:rFonts w:asciiTheme="majorHAnsi" w:hAnsiTheme="majorHAnsi"/>
          <w:sz w:val="20"/>
          <w:szCs w:val="20"/>
          <w:lang w:val="es-ES_tradnl"/>
        </w:rPr>
        <w:t xml:space="preserve">lo siguiente: </w:t>
      </w:r>
    </w:p>
    <w:p w14:paraId="085505FF" w14:textId="1900DA78" w:rsidR="00EF535F" w:rsidRPr="002F30E4" w:rsidRDefault="00EF535F" w:rsidP="00826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18"/>
          <w:szCs w:val="18"/>
          <w:lang w:val="es-ES_tradnl"/>
        </w:rPr>
      </w:pPr>
      <w:r w:rsidRPr="002F30E4">
        <w:rPr>
          <w:rFonts w:asciiTheme="majorHAnsi" w:hAnsiTheme="majorHAnsi"/>
          <w:sz w:val="18"/>
          <w:szCs w:val="18"/>
          <w:lang w:val="es-ES_tradnl"/>
        </w:rPr>
        <w:t xml:space="preserve">Cuarto. Por lo anterior, DEJAR SIN VALOR Y SIN EFECTOS JURÍDICOS, la Sentencia del Consejo de Estado </w:t>
      </w:r>
      <w:r w:rsidR="00FC2157" w:rsidRPr="002F30E4">
        <w:rPr>
          <w:rFonts w:asciiTheme="majorHAnsi" w:hAnsiTheme="majorHAnsi"/>
          <w:sz w:val="18"/>
          <w:szCs w:val="18"/>
          <w:lang w:val="es-ES_tradnl"/>
        </w:rPr>
        <w:t>–</w:t>
      </w:r>
      <w:r w:rsidRPr="002F30E4">
        <w:rPr>
          <w:rFonts w:asciiTheme="majorHAnsi" w:hAnsiTheme="majorHAnsi"/>
          <w:sz w:val="18"/>
          <w:szCs w:val="18"/>
          <w:lang w:val="es-ES_tradnl"/>
        </w:rPr>
        <w:t>Sección Cuarta</w:t>
      </w:r>
      <w:r w:rsidR="00FC2157" w:rsidRPr="002F30E4">
        <w:rPr>
          <w:rFonts w:asciiTheme="majorHAnsi" w:hAnsiTheme="majorHAnsi"/>
          <w:sz w:val="18"/>
          <w:szCs w:val="18"/>
          <w:lang w:val="es-ES_tradnl"/>
        </w:rPr>
        <w:t>–</w:t>
      </w:r>
      <w:r w:rsidRPr="002F30E4">
        <w:rPr>
          <w:rFonts w:asciiTheme="majorHAnsi" w:hAnsiTheme="majorHAnsi"/>
          <w:sz w:val="18"/>
          <w:szCs w:val="18"/>
          <w:lang w:val="es-ES_tradnl"/>
        </w:rPr>
        <w:t xml:space="preserve"> de 1° de noviembre de 2007, proferida en el proceso de nulidad y restablecimiento del derecho iniciado por las sociedades Compto S.A. en liquidación, Asesorías e Inversiones C.G. Ltda, Inversiones Lieja Ltda., Exultar S.A. en liquidación, Fultiplex S.A. en liquidación, I.C. Interventorías y Construcciones Ltda en liquidación, que declaró nulas la orden de capitalización No 1998050714-1 de 2 de octubre de 1998 expedida por la Superintendencia Bancaria </w:t>
      </w:r>
      <w:r w:rsidR="00FC2157" w:rsidRPr="002F30E4">
        <w:rPr>
          <w:rFonts w:asciiTheme="majorHAnsi" w:hAnsiTheme="majorHAnsi"/>
          <w:sz w:val="18"/>
          <w:szCs w:val="18"/>
          <w:lang w:val="es-ES_tradnl"/>
        </w:rPr>
        <w:t>–</w:t>
      </w:r>
      <w:r w:rsidRPr="002F30E4">
        <w:rPr>
          <w:rFonts w:asciiTheme="majorHAnsi" w:hAnsiTheme="majorHAnsi"/>
          <w:sz w:val="18"/>
          <w:szCs w:val="18"/>
          <w:lang w:val="es-ES_tradnl"/>
        </w:rPr>
        <w:t>hoy financiera</w:t>
      </w:r>
      <w:r w:rsidR="00FC2157" w:rsidRPr="002F30E4">
        <w:rPr>
          <w:rFonts w:asciiTheme="majorHAnsi" w:hAnsiTheme="majorHAnsi"/>
          <w:sz w:val="18"/>
          <w:szCs w:val="18"/>
          <w:lang w:val="es-ES_tradnl"/>
        </w:rPr>
        <w:t>–</w:t>
      </w:r>
      <w:r w:rsidR="000B72DD" w:rsidRPr="002F30E4">
        <w:rPr>
          <w:rFonts w:asciiTheme="majorHAnsi" w:hAnsiTheme="majorHAnsi"/>
          <w:sz w:val="18"/>
          <w:szCs w:val="18"/>
          <w:lang w:val="es-ES_tradnl"/>
        </w:rPr>
        <w:t>;</w:t>
      </w:r>
      <w:r w:rsidRPr="002F30E4">
        <w:rPr>
          <w:rFonts w:asciiTheme="majorHAnsi" w:hAnsiTheme="majorHAnsi"/>
          <w:sz w:val="18"/>
          <w:szCs w:val="18"/>
          <w:lang w:val="es-ES_tradnl"/>
        </w:rPr>
        <w:t xml:space="preserve"> y la Resolución No 002 de 3 de octubre de 1998, expedida por el Fondo de Garantías de Instituciones Financieras </w:t>
      </w:r>
      <w:r w:rsidR="000B72DD" w:rsidRPr="002F30E4">
        <w:rPr>
          <w:rFonts w:asciiTheme="majorHAnsi" w:hAnsiTheme="majorHAnsi"/>
          <w:sz w:val="18"/>
          <w:szCs w:val="18"/>
          <w:lang w:val="es-ES_tradnl"/>
        </w:rPr>
        <w:t>–</w:t>
      </w:r>
      <w:r w:rsidRPr="002F30E4">
        <w:rPr>
          <w:rFonts w:asciiTheme="majorHAnsi" w:hAnsiTheme="majorHAnsi"/>
          <w:sz w:val="18"/>
          <w:szCs w:val="18"/>
          <w:lang w:val="es-ES_tradnl"/>
        </w:rPr>
        <w:t>FOGAFIN</w:t>
      </w:r>
      <w:r w:rsidR="000B72DD" w:rsidRPr="002F30E4">
        <w:rPr>
          <w:rFonts w:asciiTheme="majorHAnsi" w:hAnsiTheme="majorHAnsi"/>
          <w:sz w:val="18"/>
          <w:szCs w:val="18"/>
          <w:lang w:val="es-ES_tradnl"/>
        </w:rPr>
        <w:t>–</w:t>
      </w:r>
      <w:r w:rsidRPr="002F30E4">
        <w:rPr>
          <w:rFonts w:asciiTheme="majorHAnsi" w:hAnsiTheme="majorHAnsi"/>
          <w:sz w:val="18"/>
          <w:szCs w:val="18"/>
          <w:lang w:val="es-ES_tradnl"/>
        </w:rPr>
        <w:t>.</w:t>
      </w:r>
    </w:p>
    <w:p w14:paraId="594C8F9B" w14:textId="02949CC2" w:rsidR="00FD1D0D" w:rsidRPr="002F30E4" w:rsidRDefault="00FD1D0D" w:rsidP="000D58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F30E4">
        <w:rPr>
          <w:rFonts w:asciiTheme="majorHAnsi" w:hAnsiTheme="majorHAnsi"/>
          <w:sz w:val="20"/>
          <w:szCs w:val="20"/>
          <w:lang w:val="es-ES_tradnl"/>
        </w:rPr>
        <w:t xml:space="preserve">Adicionalmente, </w:t>
      </w:r>
      <w:r w:rsidR="005E38EC" w:rsidRPr="002F30E4">
        <w:rPr>
          <w:rFonts w:asciiTheme="majorHAnsi" w:hAnsiTheme="majorHAnsi"/>
          <w:sz w:val="20"/>
          <w:szCs w:val="20"/>
          <w:lang w:val="es-ES_tradnl"/>
        </w:rPr>
        <w:t xml:space="preserve">el Estado </w:t>
      </w:r>
      <w:r w:rsidR="000D5828" w:rsidRPr="002F30E4">
        <w:rPr>
          <w:rFonts w:asciiTheme="majorHAnsi" w:hAnsiTheme="majorHAnsi"/>
          <w:sz w:val="20"/>
          <w:szCs w:val="20"/>
          <w:lang w:val="es-ES_tradnl"/>
        </w:rPr>
        <w:t xml:space="preserve">sostiene que </w:t>
      </w:r>
      <w:r w:rsidR="005E38EC" w:rsidRPr="002F30E4">
        <w:rPr>
          <w:rFonts w:asciiTheme="majorHAnsi" w:hAnsiTheme="majorHAnsi"/>
          <w:sz w:val="20"/>
          <w:szCs w:val="20"/>
          <w:lang w:val="es-ES_tradnl"/>
        </w:rPr>
        <w:t xml:space="preserve">en caso de que </w:t>
      </w:r>
      <w:r w:rsidR="000D5828" w:rsidRPr="002F30E4">
        <w:rPr>
          <w:rFonts w:asciiTheme="majorHAnsi" w:hAnsiTheme="majorHAnsi"/>
          <w:sz w:val="20"/>
          <w:szCs w:val="20"/>
          <w:lang w:val="es-ES_tradnl"/>
        </w:rPr>
        <w:t xml:space="preserve">la CIDH considere que tiene competencia </w:t>
      </w:r>
      <w:r w:rsidR="000D5828" w:rsidRPr="002F30E4">
        <w:rPr>
          <w:rFonts w:asciiTheme="majorHAnsi" w:hAnsiTheme="majorHAnsi"/>
          <w:i/>
          <w:iCs/>
          <w:sz w:val="20"/>
          <w:szCs w:val="20"/>
          <w:lang w:val="es-ES_tradnl"/>
        </w:rPr>
        <w:t xml:space="preserve">ratione personae </w:t>
      </w:r>
      <w:r w:rsidR="000D5828" w:rsidRPr="002F30E4">
        <w:rPr>
          <w:rFonts w:asciiTheme="majorHAnsi" w:hAnsiTheme="majorHAnsi"/>
          <w:sz w:val="20"/>
          <w:szCs w:val="20"/>
          <w:lang w:val="es-ES_tradnl"/>
        </w:rPr>
        <w:t>para analizar la presente controversia, la petición resulta inadmisible</w:t>
      </w:r>
      <w:r w:rsidR="005E38EC" w:rsidRPr="002F30E4">
        <w:rPr>
          <w:rFonts w:asciiTheme="majorHAnsi" w:hAnsiTheme="majorHAnsi"/>
          <w:sz w:val="20"/>
          <w:szCs w:val="20"/>
          <w:lang w:val="es-ES_tradnl"/>
        </w:rPr>
        <w:t>,</w:t>
      </w:r>
      <w:r w:rsidR="000D5828" w:rsidRPr="002F30E4">
        <w:rPr>
          <w:rFonts w:asciiTheme="majorHAnsi" w:hAnsiTheme="majorHAnsi"/>
          <w:sz w:val="20"/>
          <w:szCs w:val="20"/>
          <w:lang w:val="es-ES_tradnl"/>
        </w:rPr>
        <w:t xml:space="preserve"> pues </w:t>
      </w:r>
      <w:r w:rsidRPr="002F30E4">
        <w:rPr>
          <w:rFonts w:asciiTheme="majorHAnsi" w:hAnsiTheme="majorHAnsi"/>
          <w:sz w:val="20"/>
          <w:szCs w:val="20"/>
          <w:lang w:val="es-ES_tradnl"/>
        </w:rPr>
        <w:t xml:space="preserve">no </w:t>
      </w:r>
      <w:r w:rsidRPr="002F30E4">
        <w:rPr>
          <w:rFonts w:asciiTheme="majorHAnsi" w:eastAsia="Times New Roman" w:hAnsiTheme="majorHAnsi"/>
          <w:sz w:val="20"/>
          <w:szCs w:val="20"/>
          <w:bdr w:val="none" w:sz="0" w:space="0" w:color="auto"/>
          <w:lang w:val="es-ES_tradnl"/>
        </w:rPr>
        <w:t>se han agotado los recursos de jurisdicción interna</w:t>
      </w:r>
      <w:r w:rsidR="000C02C1" w:rsidRPr="002F30E4">
        <w:rPr>
          <w:rFonts w:asciiTheme="majorHAnsi" w:eastAsia="Times New Roman" w:hAnsiTheme="majorHAnsi"/>
          <w:sz w:val="20"/>
          <w:szCs w:val="20"/>
          <w:bdr w:val="none" w:sz="0" w:space="0" w:color="auto"/>
          <w:lang w:val="es-ES_tradnl"/>
        </w:rPr>
        <w:t xml:space="preserve"> </w:t>
      </w:r>
      <w:r w:rsidR="006B457F" w:rsidRPr="002F30E4">
        <w:rPr>
          <w:rFonts w:asciiTheme="majorHAnsi" w:eastAsia="Times New Roman" w:hAnsiTheme="majorHAnsi"/>
          <w:sz w:val="20"/>
          <w:szCs w:val="20"/>
          <w:bdr w:val="none" w:sz="0" w:space="0" w:color="auto"/>
          <w:lang w:val="es-ES_tradnl"/>
        </w:rPr>
        <w:t>con relación a</w:t>
      </w:r>
      <w:r w:rsidR="000C02C1" w:rsidRPr="002F30E4">
        <w:rPr>
          <w:rFonts w:asciiTheme="majorHAnsi" w:eastAsia="Times New Roman" w:hAnsiTheme="majorHAnsi"/>
          <w:sz w:val="20"/>
          <w:szCs w:val="20"/>
          <w:bdr w:val="none" w:sz="0" w:space="0" w:color="auto"/>
          <w:lang w:val="es-ES_tradnl"/>
        </w:rPr>
        <w:t xml:space="preserve"> la presunta afectación al derecho de propiedad</w:t>
      </w:r>
      <w:r w:rsidR="000D5828" w:rsidRPr="002F30E4">
        <w:rPr>
          <w:rFonts w:asciiTheme="majorHAnsi" w:eastAsia="Times New Roman" w:hAnsiTheme="majorHAnsi"/>
          <w:sz w:val="20"/>
          <w:szCs w:val="20"/>
          <w:bdr w:val="none" w:sz="0" w:space="0" w:color="auto"/>
          <w:lang w:val="es-ES_tradnl"/>
        </w:rPr>
        <w:t>, toda vez que tal alegato no fue presentado en sede interna</w:t>
      </w:r>
      <w:r w:rsidR="000C02C1" w:rsidRPr="002F30E4">
        <w:rPr>
          <w:rFonts w:asciiTheme="majorHAnsi" w:eastAsia="Times New Roman" w:hAnsiTheme="majorHAnsi"/>
          <w:sz w:val="20"/>
          <w:szCs w:val="20"/>
          <w:bdr w:val="none" w:sz="0" w:space="0" w:color="auto"/>
          <w:lang w:val="es-ES_tradnl"/>
        </w:rPr>
        <w:t xml:space="preserve">. </w:t>
      </w:r>
      <w:r w:rsidR="000D5828" w:rsidRPr="002F30E4">
        <w:rPr>
          <w:rFonts w:asciiTheme="majorHAnsi" w:eastAsia="Times New Roman" w:hAnsiTheme="majorHAnsi"/>
          <w:sz w:val="20"/>
          <w:szCs w:val="20"/>
          <w:bdr w:val="none" w:sz="0" w:space="0" w:color="auto"/>
          <w:lang w:val="es-ES_tradnl"/>
        </w:rPr>
        <w:t xml:space="preserve">Al respecto, argumenta que </w:t>
      </w:r>
      <w:r w:rsidR="00320D3E" w:rsidRPr="002F30E4">
        <w:rPr>
          <w:rFonts w:asciiTheme="majorHAnsi" w:eastAsia="Times New Roman" w:hAnsiTheme="majorHAnsi"/>
          <w:sz w:val="20"/>
          <w:szCs w:val="20"/>
          <w:bdr w:val="none" w:sz="0" w:space="0" w:color="auto"/>
          <w:lang w:val="es-ES_tradnl"/>
        </w:rPr>
        <w:t>las empresas que</w:t>
      </w:r>
      <w:r w:rsidR="000C02C1" w:rsidRPr="002F30E4">
        <w:rPr>
          <w:rFonts w:asciiTheme="majorHAnsi" w:eastAsia="Times New Roman" w:hAnsiTheme="majorHAnsi"/>
          <w:sz w:val="20"/>
          <w:szCs w:val="20"/>
          <w:bdr w:val="none" w:sz="0" w:space="0" w:color="auto"/>
          <w:lang w:val="es-ES_tradnl"/>
        </w:rPr>
        <w:t xml:space="preserve"> iniciaron los procesos de nulidad y restablecimiento de derecho no alegaron la afectación a los derechos a la propiedad y garantías judiciales en perjuicio de los integrantes de la familia Carrizosa</w:t>
      </w:r>
      <w:r w:rsidR="006B457F" w:rsidRPr="002F30E4">
        <w:rPr>
          <w:rFonts w:asciiTheme="majorHAnsi" w:eastAsia="Times New Roman" w:hAnsiTheme="majorHAnsi"/>
          <w:sz w:val="20"/>
          <w:szCs w:val="20"/>
          <w:bdr w:val="none" w:sz="0" w:space="0" w:color="auto"/>
          <w:lang w:val="es-ES_tradnl"/>
        </w:rPr>
        <w:t>;</w:t>
      </w:r>
      <w:r w:rsidR="000C02C1" w:rsidRPr="002F30E4">
        <w:rPr>
          <w:rFonts w:asciiTheme="majorHAnsi" w:eastAsia="Times New Roman" w:hAnsiTheme="majorHAnsi"/>
          <w:sz w:val="20"/>
          <w:szCs w:val="20"/>
          <w:bdr w:val="none" w:sz="0" w:space="0" w:color="auto"/>
          <w:lang w:val="es-ES_tradnl"/>
        </w:rPr>
        <w:t xml:space="preserve"> y por el contrario se limitaron a solicitar la nulidad de los actos administrativos </w:t>
      </w:r>
      <w:r w:rsidR="005E38EC" w:rsidRPr="002F30E4">
        <w:rPr>
          <w:rFonts w:asciiTheme="majorHAnsi" w:eastAsia="Times New Roman" w:hAnsiTheme="majorHAnsi"/>
          <w:sz w:val="20"/>
          <w:szCs w:val="20"/>
          <w:bdr w:val="none" w:sz="0" w:space="0" w:color="auto"/>
          <w:lang w:val="es-ES_tradnl"/>
        </w:rPr>
        <w:t>de orden financiero relativos a sus empresas</w:t>
      </w:r>
      <w:r w:rsidR="000D5828" w:rsidRPr="002F30E4">
        <w:rPr>
          <w:rFonts w:asciiTheme="majorHAnsi" w:eastAsia="Times New Roman" w:hAnsiTheme="majorHAnsi"/>
          <w:sz w:val="20"/>
          <w:szCs w:val="20"/>
          <w:bdr w:val="none" w:sz="0" w:space="0" w:color="auto"/>
          <w:lang w:val="es-ES_tradnl"/>
        </w:rPr>
        <w:t xml:space="preserve">. </w:t>
      </w:r>
    </w:p>
    <w:p w14:paraId="54878D86" w14:textId="5FEDED07" w:rsidR="00A11E44" w:rsidRPr="002F30E4" w:rsidRDefault="006B457F" w:rsidP="000D58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F30E4">
        <w:rPr>
          <w:rFonts w:asciiTheme="majorHAnsi" w:hAnsiTheme="majorHAnsi"/>
          <w:sz w:val="20"/>
          <w:szCs w:val="20"/>
          <w:lang w:val="es-ES_tradnl"/>
        </w:rPr>
        <w:t>Finalmente</w:t>
      </w:r>
      <w:r w:rsidR="00FD1D0D" w:rsidRPr="002F30E4">
        <w:rPr>
          <w:rFonts w:asciiTheme="majorHAnsi" w:hAnsiTheme="majorHAnsi"/>
          <w:sz w:val="20"/>
          <w:szCs w:val="20"/>
          <w:lang w:val="es-ES_tradnl"/>
        </w:rPr>
        <w:t xml:space="preserve">, </w:t>
      </w:r>
      <w:r w:rsidR="005E38EC" w:rsidRPr="002F30E4">
        <w:rPr>
          <w:rFonts w:asciiTheme="majorHAnsi" w:hAnsiTheme="majorHAnsi"/>
          <w:sz w:val="20"/>
          <w:szCs w:val="20"/>
          <w:lang w:val="es-ES_tradnl"/>
        </w:rPr>
        <w:t xml:space="preserve">Colombia </w:t>
      </w:r>
      <w:r w:rsidR="00FD1D0D" w:rsidRPr="002F30E4">
        <w:rPr>
          <w:rFonts w:asciiTheme="majorHAnsi" w:eastAsia="Times New Roman" w:hAnsiTheme="majorHAnsi"/>
          <w:sz w:val="20"/>
          <w:szCs w:val="20"/>
          <w:bdr w:val="none" w:sz="0" w:space="0" w:color="auto"/>
          <w:lang w:val="es-ES_tradnl"/>
        </w:rPr>
        <w:t xml:space="preserve">alega que los </w:t>
      </w:r>
      <w:r w:rsidR="00FD1D0D" w:rsidRPr="002F30E4">
        <w:rPr>
          <w:rFonts w:asciiTheme="majorHAnsi" w:hAnsiTheme="majorHAnsi"/>
          <w:sz w:val="20"/>
          <w:szCs w:val="20"/>
          <w:lang w:val="es-ES_tradnl"/>
        </w:rPr>
        <w:t>hechos denunciados por la parte peticionaria no representan violaci</w:t>
      </w:r>
      <w:r w:rsidR="005E38EC" w:rsidRPr="002F30E4">
        <w:rPr>
          <w:rFonts w:asciiTheme="majorHAnsi" w:hAnsiTheme="majorHAnsi"/>
          <w:sz w:val="20"/>
          <w:szCs w:val="20"/>
          <w:lang w:val="es-ES_tradnl"/>
        </w:rPr>
        <w:t>o</w:t>
      </w:r>
      <w:r w:rsidR="00FD1D0D" w:rsidRPr="002F30E4">
        <w:rPr>
          <w:rFonts w:asciiTheme="majorHAnsi" w:hAnsiTheme="majorHAnsi"/>
          <w:sz w:val="20"/>
          <w:szCs w:val="20"/>
          <w:lang w:val="es-ES_tradnl"/>
        </w:rPr>
        <w:t>n</w:t>
      </w:r>
      <w:r w:rsidR="005E38EC" w:rsidRPr="002F30E4">
        <w:rPr>
          <w:rFonts w:asciiTheme="majorHAnsi" w:hAnsiTheme="majorHAnsi"/>
          <w:sz w:val="20"/>
          <w:szCs w:val="20"/>
          <w:lang w:val="es-ES_tradnl"/>
        </w:rPr>
        <w:t>es</w:t>
      </w:r>
      <w:r w:rsidR="00FD1D0D" w:rsidRPr="002F30E4">
        <w:rPr>
          <w:rFonts w:asciiTheme="majorHAnsi" w:hAnsiTheme="majorHAnsi"/>
          <w:sz w:val="20"/>
          <w:szCs w:val="20"/>
          <w:lang w:val="es-ES_tradnl"/>
        </w:rPr>
        <w:t xml:space="preserve"> de derechos humanos</w:t>
      </w:r>
      <w:r w:rsidR="009E1A9E" w:rsidRPr="002F30E4">
        <w:rPr>
          <w:rFonts w:asciiTheme="majorHAnsi" w:hAnsiTheme="majorHAnsi"/>
          <w:sz w:val="20"/>
          <w:szCs w:val="20"/>
          <w:lang w:val="es-ES_tradnl"/>
        </w:rPr>
        <w:t>;</w:t>
      </w:r>
      <w:r w:rsidR="000D5828" w:rsidRPr="002F30E4">
        <w:rPr>
          <w:rFonts w:asciiTheme="majorHAnsi" w:hAnsiTheme="majorHAnsi"/>
          <w:sz w:val="20"/>
          <w:szCs w:val="20"/>
          <w:lang w:val="es-ES_tradnl"/>
        </w:rPr>
        <w:t xml:space="preserve"> </w:t>
      </w:r>
      <w:r w:rsidR="009E1A9E" w:rsidRPr="002F30E4">
        <w:rPr>
          <w:rFonts w:asciiTheme="majorHAnsi" w:hAnsiTheme="majorHAnsi"/>
          <w:sz w:val="20"/>
          <w:szCs w:val="20"/>
          <w:lang w:val="es-ES_tradnl"/>
        </w:rPr>
        <w:t>y</w:t>
      </w:r>
      <w:r w:rsidR="000B6EC7" w:rsidRPr="002F30E4">
        <w:rPr>
          <w:rFonts w:asciiTheme="majorHAnsi" w:hAnsiTheme="majorHAnsi"/>
          <w:sz w:val="20"/>
          <w:szCs w:val="20"/>
          <w:lang w:val="es-ES_tradnl"/>
        </w:rPr>
        <w:t xml:space="preserve"> que los procesos internos se llevaron a cabo de conformidad con el debido proceso, sin desconocer ningún derecho o garantía prevista en la Convención</w:t>
      </w:r>
      <w:r w:rsidR="009E1A9E" w:rsidRPr="002F30E4">
        <w:rPr>
          <w:rFonts w:asciiTheme="majorHAnsi" w:hAnsiTheme="majorHAnsi"/>
          <w:sz w:val="20"/>
          <w:szCs w:val="20"/>
          <w:lang w:val="es-ES_tradnl"/>
        </w:rPr>
        <w:t xml:space="preserve"> Americana</w:t>
      </w:r>
      <w:r w:rsidR="000B6EC7" w:rsidRPr="002F30E4">
        <w:rPr>
          <w:rFonts w:asciiTheme="majorHAnsi" w:hAnsiTheme="majorHAnsi"/>
          <w:sz w:val="20"/>
          <w:szCs w:val="20"/>
          <w:lang w:val="es-ES_tradnl"/>
        </w:rPr>
        <w:t xml:space="preserve">. Asimismo, </w:t>
      </w:r>
      <w:r w:rsidR="009E1A9E" w:rsidRPr="002F30E4">
        <w:rPr>
          <w:rFonts w:asciiTheme="majorHAnsi" w:hAnsiTheme="majorHAnsi"/>
          <w:sz w:val="20"/>
          <w:szCs w:val="20"/>
          <w:lang w:val="es-ES_tradnl"/>
        </w:rPr>
        <w:t>argumenta</w:t>
      </w:r>
      <w:r w:rsidR="000B6EC7" w:rsidRPr="002F30E4">
        <w:rPr>
          <w:rFonts w:asciiTheme="majorHAnsi" w:hAnsiTheme="majorHAnsi"/>
          <w:sz w:val="20"/>
          <w:szCs w:val="20"/>
          <w:lang w:val="es-ES_tradnl"/>
        </w:rPr>
        <w:t xml:space="preserve"> que la información aportada no demuestra que exista una vulneración al derecho de la propiedad de los integrantes de la familia Carrizosa, toda vez que únicamente se afectaron las acciones de las empresas involucradas</w:t>
      </w:r>
      <w:r w:rsidR="00320D3E" w:rsidRPr="002F30E4">
        <w:rPr>
          <w:rFonts w:asciiTheme="majorHAnsi" w:hAnsiTheme="majorHAnsi"/>
          <w:sz w:val="20"/>
          <w:szCs w:val="20"/>
          <w:lang w:val="es-ES_tradnl"/>
        </w:rPr>
        <w:t>, conforme a los lineamientos establecidos por la legislación interna</w:t>
      </w:r>
      <w:r w:rsidR="000B6EC7" w:rsidRPr="002F30E4">
        <w:rPr>
          <w:rFonts w:asciiTheme="majorHAnsi" w:hAnsiTheme="majorHAnsi"/>
          <w:sz w:val="20"/>
          <w:szCs w:val="20"/>
          <w:lang w:val="es-ES_tradnl"/>
        </w:rPr>
        <w:t xml:space="preserve">. </w:t>
      </w:r>
      <w:r w:rsidRPr="002F30E4">
        <w:rPr>
          <w:rFonts w:asciiTheme="majorHAnsi" w:hAnsiTheme="majorHAnsi"/>
          <w:sz w:val="20"/>
          <w:szCs w:val="20"/>
          <w:lang w:val="es-ES_tradnl"/>
        </w:rPr>
        <w:t>En consecuencia</w:t>
      </w:r>
      <w:r w:rsidR="000D5828" w:rsidRPr="002F30E4">
        <w:rPr>
          <w:rFonts w:asciiTheme="majorHAnsi" w:hAnsiTheme="majorHAnsi"/>
          <w:sz w:val="20"/>
          <w:szCs w:val="20"/>
          <w:lang w:val="es-ES_tradnl"/>
        </w:rPr>
        <w:t xml:space="preserve">, </w:t>
      </w:r>
      <w:r w:rsidR="00AD7FBA" w:rsidRPr="002F30E4">
        <w:rPr>
          <w:rFonts w:asciiTheme="majorHAnsi" w:hAnsiTheme="majorHAnsi"/>
          <w:sz w:val="20"/>
          <w:szCs w:val="20"/>
          <w:lang w:val="es-ES_tradnl"/>
        </w:rPr>
        <w:t>solicita</w:t>
      </w:r>
      <w:r w:rsidR="000D5828" w:rsidRPr="002F30E4">
        <w:rPr>
          <w:rFonts w:asciiTheme="majorHAnsi" w:hAnsiTheme="majorHAnsi"/>
          <w:sz w:val="20"/>
          <w:szCs w:val="20"/>
          <w:lang w:val="es-ES_tradnl"/>
        </w:rPr>
        <w:t xml:space="preserve"> que la petición sea declarada inadmisible con fundamento en el artículo 47(b) de la Convención Americana, toda vez que considera que la pretensión de la </w:t>
      </w:r>
      <w:r w:rsidRPr="002F30E4">
        <w:rPr>
          <w:rFonts w:asciiTheme="majorHAnsi" w:hAnsiTheme="majorHAnsi"/>
          <w:sz w:val="20"/>
          <w:szCs w:val="20"/>
          <w:lang w:val="es-ES_tradnl"/>
        </w:rPr>
        <w:t xml:space="preserve">parte </w:t>
      </w:r>
      <w:r w:rsidR="00AD7FBA" w:rsidRPr="002F30E4">
        <w:rPr>
          <w:rFonts w:asciiTheme="majorHAnsi" w:hAnsiTheme="majorHAnsi"/>
          <w:sz w:val="20"/>
          <w:szCs w:val="20"/>
          <w:lang w:val="es-ES_tradnl"/>
        </w:rPr>
        <w:t>peticionaria</w:t>
      </w:r>
      <w:r w:rsidR="000D5828" w:rsidRPr="002F30E4">
        <w:rPr>
          <w:rFonts w:asciiTheme="majorHAnsi" w:hAnsiTheme="majorHAnsi"/>
          <w:sz w:val="20"/>
          <w:szCs w:val="20"/>
          <w:lang w:val="es-ES_tradnl"/>
        </w:rPr>
        <w:t xml:space="preserve"> es que la Comisión actúe como un tribunal de alzada, en contradicción de su naturaleza complementaria.</w:t>
      </w:r>
      <w:r w:rsidR="008C5E2D" w:rsidRPr="002F30E4">
        <w:rPr>
          <w:rFonts w:asciiTheme="majorHAnsi" w:hAnsiTheme="majorHAnsi"/>
          <w:sz w:val="20"/>
          <w:szCs w:val="20"/>
          <w:lang w:val="es-ES_tradnl"/>
        </w:rPr>
        <w:t xml:space="preserve"> </w:t>
      </w:r>
    </w:p>
    <w:p w14:paraId="6F4D4171" w14:textId="7CCDB7F9" w:rsidR="003239B8" w:rsidRPr="002F30E4" w:rsidRDefault="003239B8"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r w:rsidRPr="002F30E4">
        <w:rPr>
          <w:rFonts w:asciiTheme="majorHAnsi" w:eastAsia="Cambria" w:hAnsiTheme="majorHAnsi" w:cs="Cambria"/>
          <w:b/>
          <w:bCs/>
          <w:color w:val="000000"/>
          <w:sz w:val="20"/>
          <w:szCs w:val="20"/>
          <w:u w:color="000000"/>
          <w:lang w:val="es-ES_tradnl" w:eastAsia="es-ES"/>
        </w:rPr>
        <w:t>VI.</w:t>
      </w:r>
      <w:r w:rsidRPr="002F30E4">
        <w:rPr>
          <w:rFonts w:asciiTheme="majorHAnsi" w:eastAsia="Cambria" w:hAnsiTheme="majorHAnsi" w:cs="Cambria"/>
          <w:b/>
          <w:bCs/>
          <w:color w:val="000000"/>
          <w:sz w:val="20"/>
          <w:szCs w:val="20"/>
          <w:u w:color="000000"/>
          <w:lang w:val="es-ES_tradnl" w:eastAsia="es-ES"/>
        </w:rPr>
        <w:tab/>
      </w:r>
      <w:r w:rsidR="004A6A54" w:rsidRPr="002F30E4">
        <w:rPr>
          <w:rFonts w:asciiTheme="majorHAnsi" w:hAnsiTheme="majorHAnsi"/>
          <w:b/>
          <w:bCs/>
          <w:sz w:val="20"/>
          <w:szCs w:val="20"/>
          <w:lang w:val="es-ES_tradnl"/>
        </w:rPr>
        <w:t xml:space="preserve">ANÁLISIS DE </w:t>
      </w:r>
      <w:r w:rsidR="00ED18B3" w:rsidRPr="002F30E4">
        <w:rPr>
          <w:rFonts w:asciiTheme="majorHAnsi" w:hAnsiTheme="majorHAnsi"/>
          <w:b/>
          <w:bCs/>
          <w:sz w:val="20"/>
          <w:szCs w:val="20"/>
          <w:lang w:val="es-ES_tradnl"/>
        </w:rPr>
        <w:t xml:space="preserve">LA </w:t>
      </w:r>
      <w:r w:rsidR="009675FD" w:rsidRPr="002F30E4">
        <w:rPr>
          <w:rFonts w:asciiTheme="majorHAnsi" w:hAnsiTheme="majorHAnsi"/>
          <w:b/>
          <w:sz w:val="20"/>
          <w:szCs w:val="20"/>
          <w:lang w:val="es-ES_tradnl"/>
        </w:rPr>
        <w:t xml:space="preserve">COMPETENCIA </w:t>
      </w:r>
      <w:r w:rsidR="009675FD" w:rsidRPr="002F30E4">
        <w:rPr>
          <w:rFonts w:asciiTheme="majorHAnsi" w:hAnsiTheme="majorHAnsi"/>
          <w:b/>
          <w:i/>
          <w:iCs/>
          <w:sz w:val="20"/>
          <w:szCs w:val="20"/>
          <w:lang w:val="es-ES_tradnl"/>
        </w:rPr>
        <w:t>RATIONE PERSONAE</w:t>
      </w:r>
      <w:r w:rsidR="00C21FEF" w:rsidRPr="002F30E4">
        <w:rPr>
          <w:rFonts w:asciiTheme="majorHAnsi" w:eastAsia="Cambria" w:hAnsiTheme="majorHAnsi" w:cs="Cambria"/>
          <w:b/>
          <w:bCs/>
          <w:color w:val="000000"/>
          <w:sz w:val="20"/>
          <w:szCs w:val="20"/>
          <w:u w:color="000000"/>
          <w:lang w:val="es-ES_tradnl" w:eastAsia="es-ES"/>
        </w:rPr>
        <w:t xml:space="preserve"> </w:t>
      </w:r>
      <w:r w:rsidR="00ED18B3" w:rsidRPr="002F30E4">
        <w:rPr>
          <w:rFonts w:asciiTheme="majorHAnsi" w:eastAsia="Cambria" w:hAnsiTheme="majorHAnsi" w:cs="Cambria"/>
          <w:b/>
          <w:bCs/>
          <w:color w:val="000000"/>
          <w:sz w:val="20"/>
          <w:szCs w:val="20"/>
          <w:u w:color="000000"/>
          <w:lang w:val="es-ES_tradnl" w:eastAsia="es-ES"/>
        </w:rPr>
        <w:t>DE LA CIDH</w:t>
      </w:r>
    </w:p>
    <w:p w14:paraId="4DE01F73" w14:textId="77777777" w:rsidR="00731D78" w:rsidRPr="002F30E4" w:rsidRDefault="009E1A9E" w:rsidP="009E1A9E">
      <w:pPr>
        <w:pStyle w:val="ListParagraph"/>
        <w:numPr>
          <w:ilvl w:val="0"/>
          <w:numId w:val="103"/>
        </w:numPr>
        <w:spacing w:before="240" w:after="240"/>
        <w:jc w:val="both"/>
        <w:rPr>
          <w:sz w:val="20"/>
          <w:szCs w:val="20"/>
          <w:lang w:val="es-ES_tradnl"/>
        </w:rPr>
      </w:pPr>
      <w:r w:rsidRPr="002F30E4">
        <w:rPr>
          <w:sz w:val="20"/>
          <w:szCs w:val="20"/>
          <w:lang w:val="es-ES_tradnl"/>
        </w:rPr>
        <w:t xml:space="preserve">Como primer paso lógico antes de entrar a considerar cualquier aspecto de admisibilidad la Comisión Interamericana </w:t>
      </w:r>
      <w:r w:rsidR="005C5759" w:rsidRPr="002F30E4">
        <w:rPr>
          <w:sz w:val="20"/>
          <w:szCs w:val="20"/>
          <w:lang w:val="es-ES_tradnl"/>
        </w:rPr>
        <w:t>debe referirse a su competencia para pronunciarse respecto del presente caso. En ese sentido, el punto de mayor controversia entre las partes es el relativo a la competencia personal de la Comisión respecto de las alegadas presuntas víctimas. Los peticionarios sostienen que las víctimas del presente caso son el Sr. Julio Carrizosa y sus familiares; y el Estado</w:t>
      </w:r>
      <w:r w:rsidR="00731D78" w:rsidRPr="002F30E4">
        <w:rPr>
          <w:sz w:val="20"/>
          <w:szCs w:val="20"/>
          <w:lang w:val="es-ES_tradnl"/>
        </w:rPr>
        <w:t>,</w:t>
      </w:r>
      <w:r w:rsidR="005C5759" w:rsidRPr="002F30E4">
        <w:rPr>
          <w:sz w:val="20"/>
          <w:szCs w:val="20"/>
          <w:lang w:val="es-ES_tradnl"/>
        </w:rPr>
        <w:t xml:space="preserve"> por su parte, alega que en realidad </w:t>
      </w:r>
      <w:r w:rsidR="00731D78" w:rsidRPr="002F30E4">
        <w:rPr>
          <w:sz w:val="20"/>
          <w:szCs w:val="20"/>
          <w:lang w:val="es-ES_tradnl"/>
        </w:rPr>
        <w:t>las acciones reclamadas como violaciones a derechos, realizadas por las autoridades públicas, habrían recaído en personas jurídicas de derecho mercantil, las cuales al gozar de capacidad jurídica propia reclamaron ante los tribunales internos la afectación a derechos de los cuales serían estas titulares.</w:t>
      </w:r>
    </w:p>
    <w:p w14:paraId="405A2CBF" w14:textId="0FFAFA44" w:rsidR="00833F05" w:rsidRPr="00524D8A" w:rsidRDefault="00731D78" w:rsidP="009E1A9E">
      <w:pPr>
        <w:pStyle w:val="ListParagraph"/>
        <w:numPr>
          <w:ilvl w:val="0"/>
          <w:numId w:val="103"/>
        </w:numPr>
        <w:spacing w:before="240" w:after="240"/>
        <w:jc w:val="both"/>
        <w:rPr>
          <w:sz w:val="20"/>
          <w:szCs w:val="20"/>
          <w:lang w:val="es-ES_tradnl"/>
        </w:rPr>
      </w:pPr>
      <w:r w:rsidRPr="002F30E4">
        <w:rPr>
          <w:sz w:val="20"/>
          <w:szCs w:val="20"/>
          <w:lang w:val="es-ES_tradnl"/>
        </w:rPr>
        <w:t xml:space="preserve">A este respecto, </w:t>
      </w:r>
      <w:r w:rsidR="00424BC2" w:rsidRPr="002F30E4">
        <w:rPr>
          <w:sz w:val="20"/>
          <w:szCs w:val="20"/>
          <w:lang w:val="es-ES_tradnl"/>
        </w:rPr>
        <w:t xml:space="preserve">la Comisión Interamericana destaca que el artículo 1.2 de la Convención Americana establece claramente: “Para los efectos de esta Convención, persona es todo ser humano”. Esta disposición es congruente con el </w:t>
      </w:r>
      <w:r w:rsidR="00284522" w:rsidRPr="002F30E4">
        <w:rPr>
          <w:sz w:val="20"/>
          <w:szCs w:val="20"/>
          <w:lang w:val="es-ES_tradnl"/>
        </w:rPr>
        <w:t>objeto y</w:t>
      </w:r>
      <w:r w:rsidR="00424BC2" w:rsidRPr="002F30E4">
        <w:rPr>
          <w:sz w:val="20"/>
          <w:szCs w:val="20"/>
          <w:lang w:val="es-ES_tradnl"/>
        </w:rPr>
        <w:t xml:space="preserve"> fin de la Convención Americana</w:t>
      </w:r>
      <w:r w:rsidR="00702D5C" w:rsidRPr="002F30E4">
        <w:rPr>
          <w:sz w:val="20"/>
          <w:szCs w:val="20"/>
          <w:lang w:val="es-ES_tradnl"/>
        </w:rPr>
        <w:t xml:space="preserve"> definidos expresamente en el Preámbulo de dicho tratado, el cual se refiere de manera enfática a conceptos </w:t>
      </w:r>
      <w:r w:rsidR="00702D5C" w:rsidRPr="00524D8A">
        <w:rPr>
          <w:sz w:val="20"/>
          <w:szCs w:val="20"/>
          <w:lang w:val="es-ES_tradnl"/>
        </w:rPr>
        <w:t xml:space="preserve">como “los derechos esenciales del hombre”, “los atributos de la persona humana” y el “ideal del ser humano”. </w:t>
      </w:r>
      <w:r w:rsidR="00833F05" w:rsidRPr="00524D8A">
        <w:rPr>
          <w:sz w:val="20"/>
          <w:szCs w:val="20"/>
          <w:lang w:val="es-ES_tradnl"/>
        </w:rPr>
        <w:t xml:space="preserve">Enfoque que es consistente a lo largo de todo el tratado. </w:t>
      </w:r>
    </w:p>
    <w:p w14:paraId="70AFDB37" w14:textId="262252A5" w:rsidR="00ED18B3" w:rsidRPr="002F30E4" w:rsidRDefault="00702D5C" w:rsidP="009E1A9E">
      <w:pPr>
        <w:pStyle w:val="ListParagraph"/>
        <w:numPr>
          <w:ilvl w:val="0"/>
          <w:numId w:val="103"/>
        </w:numPr>
        <w:spacing w:before="240" w:after="240"/>
        <w:jc w:val="both"/>
        <w:rPr>
          <w:sz w:val="20"/>
          <w:szCs w:val="20"/>
          <w:lang w:val="es-ES_tradnl"/>
        </w:rPr>
      </w:pPr>
      <w:r w:rsidRPr="002F30E4">
        <w:rPr>
          <w:sz w:val="20"/>
          <w:szCs w:val="20"/>
          <w:lang w:val="es-ES_tradnl"/>
        </w:rPr>
        <w:t xml:space="preserve">La Corte IDH, en su Opinión Consultiva 22 del 26 de febrero de 2016, relativa precisamente a la titularidad de derechos de las personas jurídicas </w:t>
      </w:r>
      <w:r w:rsidR="00833F05" w:rsidRPr="002F30E4">
        <w:rPr>
          <w:sz w:val="20"/>
          <w:szCs w:val="20"/>
          <w:lang w:val="es-ES_tradnl"/>
        </w:rPr>
        <w:t xml:space="preserve">en el Sistema Interamericano de Derechos Humanos, indicó </w:t>
      </w:r>
      <w:r w:rsidR="00833F05" w:rsidRPr="002F30E4">
        <w:rPr>
          <w:sz w:val="20"/>
          <w:szCs w:val="20"/>
          <w:lang w:val="es-ES_tradnl"/>
        </w:rPr>
        <w:lastRenderedPageBreak/>
        <w:t xml:space="preserve">que al margen del Sistema Europeo, </w:t>
      </w:r>
      <w:r w:rsidR="00343BE0" w:rsidRPr="002F30E4">
        <w:rPr>
          <w:sz w:val="20"/>
          <w:szCs w:val="20"/>
          <w:lang w:val="es-ES_tradnl"/>
        </w:rPr>
        <w:t>“</w:t>
      </w:r>
      <w:r w:rsidR="00343BE0" w:rsidRPr="002F30E4">
        <w:rPr>
          <w:i/>
          <w:iCs/>
          <w:sz w:val="20"/>
          <w:szCs w:val="20"/>
          <w:lang w:val="es-ES_tradnl"/>
        </w:rPr>
        <w:t>actualmente en el derecho internacional de los derechos humanos no existe una tendencia clara, interesada en otorgar derechos a las personas jurídicas o en permitirles acceder como víctimas a los procesos de peticiones individuales que establezcan los tratados</w:t>
      </w:r>
      <w:r w:rsidR="00343BE0" w:rsidRPr="002F30E4">
        <w:rPr>
          <w:sz w:val="20"/>
          <w:szCs w:val="20"/>
          <w:lang w:val="es-ES_tradnl"/>
        </w:rPr>
        <w:t xml:space="preserve">” (párr. 62). </w:t>
      </w:r>
      <w:r w:rsidR="003224BE" w:rsidRPr="002F30E4">
        <w:rPr>
          <w:sz w:val="20"/>
          <w:szCs w:val="20"/>
          <w:lang w:val="es-ES_tradnl"/>
        </w:rPr>
        <w:t>Más adelante, luego de analizar distintos criterios hermenéuticos, la Corte IDH concluye que “</w:t>
      </w:r>
      <w:r w:rsidR="003224BE" w:rsidRPr="002F30E4">
        <w:rPr>
          <w:i/>
          <w:iCs/>
          <w:sz w:val="20"/>
          <w:szCs w:val="20"/>
          <w:lang w:val="es-ES_tradnl"/>
        </w:rPr>
        <w:t>de una interpretación del artículo 1.2 de la Convención Americana, de buena fe, acorde con el sentido natural de los términos empleados en la Convención […] y teniendo en cuenta el contexto […] y el objeto y fin de la misma […] se desprende con claridad que las personas jurídicas no son titulares de derechos convencionales […]</w:t>
      </w:r>
      <w:r w:rsidR="003224BE" w:rsidRPr="002F30E4">
        <w:rPr>
          <w:sz w:val="20"/>
          <w:szCs w:val="20"/>
          <w:lang w:val="es-ES_tradnl"/>
        </w:rPr>
        <w:t xml:space="preserve">” </w:t>
      </w:r>
      <w:r w:rsidR="00ED18B3" w:rsidRPr="002F30E4">
        <w:rPr>
          <w:sz w:val="20"/>
          <w:szCs w:val="20"/>
          <w:lang w:val="es-ES_tradnl"/>
        </w:rPr>
        <w:t xml:space="preserve">(párr. 70). </w:t>
      </w:r>
    </w:p>
    <w:p w14:paraId="5ECABDBC" w14:textId="0B05DD4A" w:rsidR="00424BC2" w:rsidRPr="002F30E4" w:rsidRDefault="00ED18B3" w:rsidP="009E1A9E">
      <w:pPr>
        <w:pStyle w:val="ListParagraph"/>
        <w:numPr>
          <w:ilvl w:val="0"/>
          <w:numId w:val="103"/>
        </w:numPr>
        <w:spacing w:before="240" w:after="240"/>
        <w:jc w:val="both"/>
        <w:rPr>
          <w:sz w:val="20"/>
          <w:szCs w:val="20"/>
          <w:lang w:val="es-ES_tradnl"/>
        </w:rPr>
      </w:pPr>
      <w:r w:rsidRPr="002F30E4">
        <w:rPr>
          <w:sz w:val="20"/>
          <w:szCs w:val="20"/>
          <w:lang w:val="es-ES_tradnl"/>
        </w:rPr>
        <w:t xml:space="preserve">En las siguientes partes de su dictamen el tribunal interamericano se refiere a distintos niveles de protección de derechos de personas individuales en los que podrían estar involucradas personas jurídicas. </w:t>
      </w:r>
      <w:r w:rsidR="00751C21" w:rsidRPr="002F30E4">
        <w:rPr>
          <w:sz w:val="20"/>
          <w:szCs w:val="20"/>
          <w:lang w:val="es-ES_tradnl"/>
        </w:rPr>
        <w:t xml:space="preserve">En primer </w:t>
      </w:r>
      <w:r w:rsidR="00284522" w:rsidRPr="002F30E4">
        <w:rPr>
          <w:sz w:val="20"/>
          <w:szCs w:val="20"/>
          <w:lang w:val="es-ES_tradnl"/>
        </w:rPr>
        <w:t>lugar,</w:t>
      </w:r>
      <w:r w:rsidR="00751C21" w:rsidRPr="002F30E4">
        <w:rPr>
          <w:sz w:val="20"/>
          <w:szCs w:val="20"/>
          <w:lang w:val="es-ES_tradnl"/>
        </w:rPr>
        <w:t xml:space="preserve"> desarrolla</w:t>
      </w:r>
      <w:r w:rsidRPr="002F30E4">
        <w:rPr>
          <w:sz w:val="20"/>
          <w:szCs w:val="20"/>
          <w:lang w:val="es-ES_tradnl"/>
        </w:rPr>
        <w:t xml:space="preserve"> la situación de </w:t>
      </w:r>
      <w:r w:rsidR="009C7FAB" w:rsidRPr="002F30E4">
        <w:rPr>
          <w:sz w:val="20"/>
          <w:szCs w:val="20"/>
          <w:lang w:val="es-ES_tradnl"/>
        </w:rPr>
        <w:t>las comunidades indígenas y tribales</w:t>
      </w:r>
      <w:r w:rsidR="00283869">
        <w:rPr>
          <w:sz w:val="20"/>
          <w:szCs w:val="20"/>
          <w:lang w:val="es-ES_tradnl"/>
        </w:rPr>
        <w:t>,</w:t>
      </w:r>
      <w:r w:rsidR="009C7FAB" w:rsidRPr="002F30E4">
        <w:rPr>
          <w:sz w:val="20"/>
          <w:szCs w:val="20"/>
          <w:lang w:val="es-ES_tradnl"/>
        </w:rPr>
        <w:t xml:space="preserve"> y las organizaciones sindicales, las cuales cuentan con marcos jurídicos propios relevantes a este tema; </w:t>
      </w:r>
      <w:r w:rsidR="00751C21" w:rsidRPr="002F30E4">
        <w:rPr>
          <w:sz w:val="20"/>
          <w:szCs w:val="20"/>
          <w:lang w:val="es-ES_tradnl"/>
        </w:rPr>
        <w:t xml:space="preserve">y luego al ejercicio de los derechos de las personas naturales a través de personas jurídicas, </w:t>
      </w:r>
      <w:r w:rsidR="004F0E16" w:rsidRPr="002F30E4">
        <w:rPr>
          <w:sz w:val="20"/>
          <w:szCs w:val="20"/>
          <w:lang w:val="es-ES_tradnl"/>
        </w:rPr>
        <w:t>en dos escenarios</w:t>
      </w:r>
      <w:r w:rsidR="00283869">
        <w:rPr>
          <w:sz w:val="20"/>
          <w:szCs w:val="20"/>
          <w:lang w:val="es-ES_tradnl"/>
        </w:rPr>
        <w:t>:</w:t>
      </w:r>
      <w:r w:rsidR="004F0E16" w:rsidRPr="002F30E4">
        <w:rPr>
          <w:sz w:val="20"/>
          <w:szCs w:val="20"/>
          <w:lang w:val="es-ES_tradnl"/>
        </w:rPr>
        <w:t xml:space="preserve"> el del ejercicio del derecho a la libertad de expresión, y del derecho de propiedad. En este segundo escenario, la Corte IDH recuerda que se ha pronunciado respecto de la </w:t>
      </w:r>
      <w:r w:rsidR="00283869">
        <w:rPr>
          <w:sz w:val="20"/>
          <w:szCs w:val="20"/>
          <w:lang w:val="es-ES_tradnl"/>
        </w:rPr>
        <w:t>propiedad</w:t>
      </w:r>
      <w:r w:rsidR="004F0E16" w:rsidRPr="002F30E4">
        <w:rPr>
          <w:sz w:val="20"/>
          <w:szCs w:val="20"/>
          <w:lang w:val="es-ES_tradnl"/>
        </w:rPr>
        <w:t xml:space="preserve"> colectiva de las comunidades indígenas y tribales; y, en lo atinente al presente caso que analiza la CIDH, la Corte IDH indicó:</w:t>
      </w:r>
    </w:p>
    <w:p w14:paraId="1EB37759" w14:textId="72A1E8B4" w:rsidR="004F0E16" w:rsidRPr="002F30E4" w:rsidRDefault="00273CD8" w:rsidP="00273CD8">
      <w:pPr>
        <w:pStyle w:val="ListParagraph"/>
        <w:spacing w:before="240" w:after="240"/>
        <w:ind w:right="720"/>
        <w:jc w:val="both"/>
        <w:rPr>
          <w:sz w:val="20"/>
          <w:szCs w:val="20"/>
          <w:lang w:val="es-ES_tradnl"/>
        </w:rPr>
      </w:pPr>
      <w:r w:rsidRPr="002F30E4">
        <w:rPr>
          <w:sz w:val="20"/>
          <w:szCs w:val="20"/>
          <w:lang w:val="es-ES_tradnl"/>
        </w:rPr>
        <w:t xml:space="preserve">La segunda situación en la que la Corte se ha pronunciado sobre el derecho a la propiedad privada ha sido para diferenciar los derechos de los accionistas de una empresa de los de la empresa misma, señalando que las leyes internas otorgan a los accionistas determinados derechos directos, como los de recibir los dividendos acordados, asistir y votar en las juntas generales y recibir parte de los activos de la compañía en el momento de su liquidación, entre otros. En ese sentido, ha establecido que para determinar si ha existido una vulneración al derecho de propiedad de los socios es necesario que se encuentre probada claramente la afectación que sobre sus derechos ha recaído. </w:t>
      </w:r>
      <w:r w:rsidR="00284522" w:rsidRPr="002F30E4">
        <w:rPr>
          <w:sz w:val="20"/>
          <w:szCs w:val="20"/>
          <w:lang w:val="es-ES_tradnl"/>
        </w:rPr>
        <w:t>Así,</w:t>
      </w:r>
      <w:r w:rsidRPr="002F30E4">
        <w:rPr>
          <w:sz w:val="20"/>
          <w:szCs w:val="20"/>
          <w:lang w:val="es-ES_tradnl"/>
        </w:rPr>
        <w:t xml:space="preserve"> por ejemplo, se ha abstenido de analizar la alegada violación al derecho a la propiedad sobre bienes que formaban parte del patrimonio de la empresa, puesto que diferenció entre el patrimonio de la misma y el de sus socios y accionistas, que en el caso en particular correspondían al capital accionario del cual eran propietarios </w:t>
      </w:r>
      <w:r w:rsidR="005F636D" w:rsidRPr="002F30E4">
        <w:rPr>
          <w:sz w:val="20"/>
          <w:szCs w:val="20"/>
          <w:lang w:val="es-ES_tradnl"/>
        </w:rPr>
        <w:t>(párr. 114)</w:t>
      </w:r>
      <w:r w:rsidRPr="002F30E4">
        <w:rPr>
          <w:sz w:val="20"/>
          <w:szCs w:val="20"/>
          <w:lang w:val="es-ES_tradnl"/>
        </w:rPr>
        <w:t>.</w:t>
      </w:r>
    </w:p>
    <w:p w14:paraId="7BB115E9" w14:textId="7DFBC63C" w:rsidR="004F0E16" w:rsidRPr="002F30E4" w:rsidRDefault="001E4E90" w:rsidP="009E1A9E">
      <w:pPr>
        <w:pStyle w:val="ListParagraph"/>
        <w:numPr>
          <w:ilvl w:val="0"/>
          <w:numId w:val="103"/>
        </w:numPr>
        <w:spacing w:before="240" w:after="240"/>
        <w:jc w:val="both"/>
        <w:rPr>
          <w:sz w:val="20"/>
          <w:szCs w:val="20"/>
          <w:lang w:val="es-ES_tradnl"/>
        </w:rPr>
      </w:pPr>
      <w:r w:rsidRPr="002F30E4">
        <w:rPr>
          <w:sz w:val="20"/>
          <w:szCs w:val="20"/>
          <w:lang w:val="es-ES_tradnl"/>
        </w:rPr>
        <w:t xml:space="preserve">Por su parte, la </w:t>
      </w:r>
      <w:r w:rsidR="008F1C7D" w:rsidRPr="002F30E4">
        <w:rPr>
          <w:sz w:val="20"/>
          <w:szCs w:val="20"/>
          <w:lang w:val="es-ES_tradnl"/>
        </w:rPr>
        <w:t xml:space="preserve">Comisión ha establecido </w:t>
      </w:r>
      <w:r w:rsidR="00DD235F" w:rsidRPr="002F30E4">
        <w:rPr>
          <w:sz w:val="20"/>
          <w:szCs w:val="20"/>
          <w:lang w:val="es-ES_tradnl"/>
        </w:rPr>
        <w:t>consistentemente</w:t>
      </w:r>
      <w:r w:rsidR="0058083F" w:rsidRPr="002F30E4">
        <w:rPr>
          <w:sz w:val="20"/>
          <w:szCs w:val="20"/>
          <w:lang w:val="es-ES_tradnl"/>
        </w:rPr>
        <w:t xml:space="preserve"> desde hace más de tres décadas</w:t>
      </w:r>
      <w:r w:rsidR="008F1C7D" w:rsidRPr="002F30E4">
        <w:rPr>
          <w:sz w:val="20"/>
          <w:szCs w:val="20"/>
          <w:lang w:val="es-ES_tradnl"/>
        </w:rPr>
        <w:t xml:space="preserve"> </w:t>
      </w:r>
      <w:r w:rsidR="0058083F" w:rsidRPr="002F30E4">
        <w:rPr>
          <w:sz w:val="20"/>
          <w:szCs w:val="20"/>
          <w:lang w:val="es-ES_tradnl"/>
        </w:rPr>
        <w:t>precedentes</w:t>
      </w:r>
      <w:r w:rsidR="008F1C7D" w:rsidRPr="002F30E4">
        <w:rPr>
          <w:sz w:val="20"/>
          <w:szCs w:val="20"/>
          <w:lang w:val="es-ES_tradnl"/>
        </w:rPr>
        <w:t xml:space="preserve"> sobre la inadmisibilidad de peticiones interpuestas por personas jurídicas empresariales bajo la condición de víctimas directas, o donde el agotamiento de los recursos internos fue realizado por éstas y no por las personas naturales que se presentan como peticionarios ante la Comisión</w:t>
      </w:r>
      <w:r w:rsidR="0058083F" w:rsidRPr="002F30E4">
        <w:rPr>
          <w:rStyle w:val="FootnoteReference"/>
          <w:rFonts w:cs="Arial"/>
          <w:sz w:val="22"/>
          <w:szCs w:val="22"/>
          <w:lang w:val="es-ES_tradnl"/>
        </w:rPr>
        <w:footnoteReference w:id="9"/>
      </w:r>
      <w:r w:rsidR="008F1C7D" w:rsidRPr="002F30E4">
        <w:rPr>
          <w:sz w:val="20"/>
          <w:szCs w:val="20"/>
          <w:lang w:val="es-ES_tradnl"/>
        </w:rPr>
        <w:t>. Una de las razones para la creación de personas jurídicas, es separar su patrimonio del de las personas físicas que la constituyen.  Precisamente, tal como lo distingue</w:t>
      </w:r>
      <w:r w:rsidR="0058083F" w:rsidRPr="002F30E4">
        <w:rPr>
          <w:sz w:val="20"/>
          <w:szCs w:val="20"/>
          <w:lang w:val="es-ES_tradnl"/>
        </w:rPr>
        <w:t>n</w:t>
      </w:r>
      <w:r w:rsidR="008F1C7D" w:rsidRPr="002F30E4">
        <w:rPr>
          <w:sz w:val="20"/>
          <w:szCs w:val="20"/>
          <w:lang w:val="es-ES_tradnl"/>
        </w:rPr>
        <w:t xml:space="preserve"> todas las legislaciones del hemisferio, personas jurídicas son diferentes a las personas humanas, físicas o naturales</w:t>
      </w:r>
      <w:r w:rsidR="004D6438">
        <w:rPr>
          <w:sz w:val="20"/>
          <w:szCs w:val="20"/>
          <w:lang w:val="es-ES_tradnl"/>
        </w:rPr>
        <w:t>;</w:t>
      </w:r>
      <w:r w:rsidR="008F1C7D" w:rsidRPr="002F30E4">
        <w:rPr>
          <w:sz w:val="20"/>
          <w:szCs w:val="20"/>
          <w:lang w:val="es-ES_tradnl"/>
        </w:rPr>
        <w:t xml:space="preserve"> y por ende, el régimen jurídico al que están sujetos también es diferente</w:t>
      </w:r>
      <w:r w:rsidR="0058083F" w:rsidRPr="002F30E4">
        <w:rPr>
          <w:rStyle w:val="FootnoteReference"/>
          <w:sz w:val="20"/>
          <w:szCs w:val="20"/>
          <w:lang w:val="es-ES_tradnl"/>
        </w:rPr>
        <w:footnoteReference w:id="10"/>
      </w:r>
      <w:r w:rsidR="008F1C7D" w:rsidRPr="002F30E4">
        <w:rPr>
          <w:sz w:val="20"/>
          <w:szCs w:val="20"/>
          <w:lang w:val="es-ES_tradnl"/>
        </w:rPr>
        <w:t>.</w:t>
      </w:r>
      <w:r w:rsidR="006D5F75" w:rsidRPr="002F30E4">
        <w:rPr>
          <w:sz w:val="20"/>
          <w:szCs w:val="20"/>
          <w:lang w:val="es-ES_tradnl"/>
        </w:rPr>
        <w:t xml:space="preserve"> </w:t>
      </w:r>
    </w:p>
    <w:p w14:paraId="03E49EF8" w14:textId="5BF6BDD4" w:rsidR="001B4FF4" w:rsidRPr="002F30E4" w:rsidRDefault="00731D78" w:rsidP="00EC433B">
      <w:pPr>
        <w:pStyle w:val="ListParagraph"/>
        <w:numPr>
          <w:ilvl w:val="0"/>
          <w:numId w:val="103"/>
        </w:numPr>
        <w:spacing w:before="240" w:after="240"/>
        <w:jc w:val="both"/>
        <w:rPr>
          <w:rFonts w:asciiTheme="majorHAnsi" w:hAnsiTheme="majorHAnsi"/>
          <w:b/>
          <w:bCs/>
          <w:sz w:val="20"/>
          <w:szCs w:val="20"/>
          <w:lang w:val="es-ES_tradnl"/>
        </w:rPr>
      </w:pPr>
      <w:r w:rsidRPr="002F30E4">
        <w:rPr>
          <w:sz w:val="20"/>
          <w:szCs w:val="20"/>
          <w:lang w:val="es-ES_tradnl"/>
        </w:rPr>
        <w:t xml:space="preserve"> </w:t>
      </w:r>
      <w:r w:rsidR="005C5759" w:rsidRPr="002F30E4">
        <w:rPr>
          <w:sz w:val="20"/>
          <w:szCs w:val="20"/>
          <w:lang w:val="es-ES_tradnl"/>
        </w:rPr>
        <w:t xml:space="preserve"> </w:t>
      </w:r>
      <w:r w:rsidR="00747108" w:rsidRPr="002F30E4">
        <w:rPr>
          <w:sz w:val="20"/>
          <w:szCs w:val="20"/>
          <w:lang w:val="es-ES_tradnl"/>
        </w:rPr>
        <w:t>En atención a estos criterios, y a partir de la abundante documentación aportada por ambas partes en el trámite de la presente petición, la Comisión Interamericana observa que en los hechos</w:t>
      </w:r>
      <w:r w:rsidR="000F0CA8" w:rsidRPr="002F30E4">
        <w:rPr>
          <w:sz w:val="20"/>
          <w:szCs w:val="20"/>
          <w:lang w:val="es-ES_tradnl"/>
        </w:rPr>
        <w:t>, más allá de los alegatos de los peticionarios,</w:t>
      </w:r>
      <w:r w:rsidR="00747108" w:rsidRPr="002F30E4">
        <w:rPr>
          <w:sz w:val="20"/>
          <w:szCs w:val="20"/>
          <w:lang w:val="es-ES_tradnl"/>
        </w:rPr>
        <w:t xml:space="preserve"> </w:t>
      </w:r>
      <w:r w:rsidR="000F0CA8" w:rsidRPr="002F30E4">
        <w:rPr>
          <w:sz w:val="20"/>
          <w:szCs w:val="20"/>
          <w:lang w:val="es-ES_tradnl"/>
        </w:rPr>
        <w:t xml:space="preserve">los actos administrativos desplegados por las autoridades públicas en el ámbito financiero recayeron sobre </w:t>
      </w:r>
      <w:r w:rsidR="000F0CA8" w:rsidRPr="002F30E4">
        <w:rPr>
          <w:rFonts w:asciiTheme="majorHAnsi" w:hAnsiTheme="majorHAnsi"/>
          <w:sz w:val="20"/>
          <w:szCs w:val="20"/>
          <w:lang w:val="es-ES_tradnl"/>
        </w:rPr>
        <w:t>la Corporación Grancolombiana de Ahorro y Vivienda (“Granahorrar”), y sobre los derechos de sus accionistas</w:t>
      </w:r>
      <w:r w:rsidR="004B5CEC">
        <w:rPr>
          <w:rFonts w:asciiTheme="majorHAnsi" w:hAnsiTheme="majorHAnsi"/>
          <w:sz w:val="20"/>
          <w:szCs w:val="20"/>
          <w:lang w:val="es-ES_tradnl"/>
        </w:rPr>
        <w:t xml:space="preserve"> mayoritarios:</w:t>
      </w:r>
      <w:r w:rsidR="000F0CA8" w:rsidRPr="002F30E4">
        <w:rPr>
          <w:rFonts w:asciiTheme="majorHAnsi" w:hAnsiTheme="majorHAnsi"/>
          <w:sz w:val="20"/>
          <w:szCs w:val="20"/>
          <w:lang w:val="es-ES_tradnl"/>
        </w:rPr>
        <w:t xml:space="preserve"> </w:t>
      </w:r>
      <w:r w:rsidR="00377066" w:rsidRPr="002F30E4">
        <w:rPr>
          <w:rFonts w:asciiTheme="majorHAnsi" w:hAnsiTheme="majorHAnsi"/>
          <w:sz w:val="20"/>
          <w:szCs w:val="20"/>
          <w:lang w:val="es-ES_tradnl"/>
        </w:rPr>
        <w:t xml:space="preserve">las sociedades mercantiles (Asesoría e Inversiones C.G S.A., Inversiones Lieja S.A., Compto S.A., Exultar S.A., Fultiplex S.A., I.C Interventorías y Construcciones Ltda.), cuya propiedad sería finalmente de los peticionarios. </w:t>
      </w:r>
      <w:r w:rsidR="001B4FF4" w:rsidRPr="002F30E4">
        <w:rPr>
          <w:rFonts w:asciiTheme="majorHAnsi" w:hAnsiTheme="majorHAnsi"/>
          <w:sz w:val="20"/>
          <w:szCs w:val="20"/>
          <w:lang w:val="es-ES_tradnl"/>
        </w:rPr>
        <w:t xml:space="preserve">Así, la CIDH no observa que en los hechos los actos de las autoridades hayan recaído en los peticionarios en tanto personas naturales accionistas de sus empresas, es </w:t>
      </w:r>
      <w:r w:rsidR="001B4FF4" w:rsidRPr="002F30E4">
        <w:rPr>
          <w:rFonts w:asciiTheme="majorHAnsi" w:hAnsiTheme="majorHAnsi"/>
          <w:sz w:val="20"/>
          <w:szCs w:val="20"/>
          <w:lang w:val="es-ES_tradnl"/>
        </w:rPr>
        <w:lastRenderedPageBreak/>
        <w:t xml:space="preserve">decir que se hayan vulnerado sus derechos individuales en tanto accionistas. Prueba de ello es que, como </w:t>
      </w:r>
      <w:r w:rsidR="003E617D" w:rsidRPr="002F30E4">
        <w:rPr>
          <w:rFonts w:asciiTheme="majorHAnsi" w:hAnsiTheme="majorHAnsi"/>
          <w:sz w:val="20"/>
          <w:szCs w:val="20"/>
          <w:lang w:val="es-ES_tradnl"/>
        </w:rPr>
        <w:t>resulta claro de la lectura de las decisiones internas</w:t>
      </w:r>
      <w:r w:rsidR="001B4FF4" w:rsidRPr="002F30E4">
        <w:rPr>
          <w:rFonts w:asciiTheme="majorHAnsi" w:hAnsiTheme="majorHAnsi"/>
          <w:sz w:val="20"/>
          <w:szCs w:val="20"/>
          <w:lang w:val="es-ES_tradnl"/>
        </w:rPr>
        <w:t xml:space="preserve">, todo el litigio a nivel </w:t>
      </w:r>
      <w:r w:rsidR="003E617D" w:rsidRPr="002F30E4">
        <w:rPr>
          <w:rFonts w:asciiTheme="majorHAnsi" w:hAnsiTheme="majorHAnsi"/>
          <w:sz w:val="20"/>
          <w:szCs w:val="20"/>
          <w:lang w:val="es-ES_tradnl"/>
        </w:rPr>
        <w:t>nacional</w:t>
      </w:r>
      <w:r w:rsidR="001B4FF4" w:rsidRPr="002F30E4">
        <w:rPr>
          <w:rFonts w:asciiTheme="majorHAnsi" w:hAnsiTheme="majorHAnsi"/>
          <w:sz w:val="20"/>
          <w:szCs w:val="20"/>
          <w:lang w:val="es-ES_tradnl"/>
        </w:rPr>
        <w:t xml:space="preserve"> se dio por parte de las seis empresas mencionadas, en ejercicio de su capacidad jurídica para actuar</w:t>
      </w:r>
      <w:r w:rsidR="003E617D" w:rsidRPr="002F30E4">
        <w:rPr>
          <w:rFonts w:asciiTheme="majorHAnsi" w:hAnsiTheme="majorHAnsi"/>
          <w:sz w:val="20"/>
          <w:szCs w:val="20"/>
          <w:lang w:val="es-ES_tradnl"/>
        </w:rPr>
        <w:t xml:space="preserve"> judicialmente</w:t>
      </w:r>
      <w:r w:rsidR="001B4FF4" w:rsidRPr="002F30E4">
        <w:rPr>
          <w:rFonts w:asciiTheme="majorHAnsi" w:hAnsiTheme="majorHAnsi"/>
          <w:sz w:val="20"/>
          <w:szCs w:val="20"/>
          <w:lang w:val="es-ES_tradnl"/>
        </w:rPr>
        <w:t xml:space="preserve"> frente a</w:t>
      </w:r>
      <w:r w:rsidR="003E617D" w:rsidRPr="002F30E4">
        <w:rPr>
          <w:rFonts w:asciiTheme="majorHAnsi" w:hAnsiTheme="majorHAnsi"/>
          <w:sz w:val="20"/>
          <w:szCs w:val="20"/>
          <w:lang w:val="es-ES_tradnl"/>
        </w:rPr>
        <w:t xml:space="preserve">l Estado, </w:t>
      </w:r>
      <w:r w:rsidR="001B4FF4" w:rsidRPr="002F30E4">
        <w:rPr>
          <w:rFonts w:asciiTheme="majorHAnsi" w:hAnsiTheme="majorHAnsi"/>
          <w:sz w:val="20"/>
          <w:szCs w:val="20"/>
          <w:lang w:val="es-ES_tradnl"/>
        </w:rPr>
        <w:t xml:space="preserve">en procura de sus derechos como personas jurídicas de carácter mercantil. </w:t>
      </w:r>
    </w:p>
    <w:p w14:paraId="276054FA" w14:textId="77A7BC87" w:rsidR="001B4FF4" w:rsidRPr="002F30E4" w:rsidRDefault="001B4FF4" w:rsidP="00EC433B">
      <w:pPr>
        <w:pStyle w:val="ListParagraph"/>
        <w:numPr>
          <w:ilvl w:val="0"/>
          <w:numId w:val="103"/>
        </w:numPr>
        <w:spacing w:before="240" w:after="240"/>
        <w:jc w:val="both"/>
        <w:rPr>
          <w:rFonts w:asciiTheme="majorHAnsi" w:hAnsiTheme="majorHAnsi"/>
          <w:b/>
          <w:bCs/>
          <w:sz w:val="20"/>
          <w:szCs w:val="20"/>
          <w:lang w:val="es-ES_tradnl"/>
        </w:rPr>
      </w:pPr>
      <w:r w:rsidRPr="002F30E4">
        <w:rPr>
          <w:rFonts w:asciiTheme="majorHAnsi" w:hAnsiTheme="majorHAnsi"/>
          <w:sz w:val="20"/>
          <w:szCs w:val="20"/>
          <w:lang w:val="es-ES_tradnl"/>
        </w:rPr>
        <w:t xml:space="preserve">Por lo tanto, la Comisión Interamericana </w:t>
      </w:r>
      <w:r w:rsidR="003E617D" w:rsidRPr="002F30E4">
        <w:rPr>
          <w:rFonts w:asciiTheme="majorHAnsi" w:hAnsiTheme="majorHAnsi"/>
          <w:sz w:val="20"/>
          <w:szCs w:val="20"/>
          <w:lang w:val="es-ES_tradnl"/>
        </w:rPr>
        <w:t xml:space="preserve">no </w:t>
      </w:r>
      <w:r w:rsidR="004B5CEC">
        <w:rPr>
          <w:rFonts w:asciiTheme="majorHAnsi" w:hAnsiTheme="majorHAnsi"/>
          <w:sz w:val="20"/>
          <w:szCs w:val="20"/>
          <w:lang w:val="es-ES_tradnl"/>
        </w:rPr>
        <w:t>considera</w:t>
      </w:r>
      <w:r w:rsidR="003E617D" w:rsidRPr="002F30E4">
        <w:rPr>
          <w:rFonts w:asciiTheme="majorHAnsi" w:hAnsiTheme="majorHAnsi"/>
          <w:sz w:val="20"/>
          <w:szCs w:val="20"/>
          <w:lang w:val="es-ES_tradnl"/>
        </w:rPr>
        <w:t xml:space="preserve">, como </w:t>
      </w:r>
      <w:r w:rsidR="00B00C28" w:rsidRPr="002F30E4">
        <w:rPr>
          <w:rFonts w:asciiTheme="majorHAnsi" w:hAnsiTheme="majorHAnsi"/>
          <w:sz w:val="20"/>
          <w:szCs w:val="20"/>
          <w:lang w:val="es-ES_tradnl"/>
        </w:rPr>
        <w:t>estableció</w:t>
      </w:r>
      <w:r w:rsidR="003E617D" w:rsidRPr="002F30E4">
        <w:rPr>
          <w:rFonts w:asciiTheme="majorHAnsi" w:hAnsiTheme="majorHAnsi"/>
          <w:sz w:val="20"/>
          <w:szCs w:val="20"/>
          <w:lang w:val="es-ES_tradnl"/>
        </w:rPr>
        <w:t xml:space="preserve"> la Corte IDH en su OC-22/16, que exista una “</w:t>
      </w:r>
      <w:r w:rsidR="003E617D" w:rsidRPr="002F30E4">
        <w:rPr>
          <w:rFonts w:asciiTheme="majorHAnsi" w:hAnsiTheme="majorHAnsi"/>
          <w:i/>
          <w:iCs/>
          <w:sz w:val="20"/>
          <w:szCs w:val="20"/>
          <w:lang w:val="es-ES_tradnl"/>
        </w:rPr>
        <w:t>relación esencial y directa entre la persona natural que requiere protección por parte del sistema interamericano y la persona jurídica</w:t>
      </w:r>
      <w:r w:rsidR="00B00C28" w:rsidRPr="002F30E4">
        <w:rPr>
          <w:rFonts w:asciiTheme="majorHAnsi" w:hAnsiTheme="majorHAnsi"/>
          <w:i/>
          <w:iCs/>
          <w:sz w:val="20"/>
          <w:szCs w:val="20"/>
          <w:lang w:val="es-ES_tradnl"/>
        </w:rPr>
        <w:t xml:space="preserve"> a través de la cual se produjo la violación</w:t>
      </w:r>
      <w:r w:rsidR="00B00C28" w:rsidRPr="002F30E4">
        <w:rPr>
          <w:rFonts w:asciiTheme="majorHAnsi" w:hAnsiTheme="majorHAnsi"/>
          <w:sz w:val="20"/>
          <w:szCs w:val="20"/>
          <w:lang w:val="es-ES_tradnl"/>
        </w:rPr>
        <w:t>”</w:t>
      </w:r>
      <w:r w:rsidR="00451536" w:rsidRPr="002F30E4">
        <w:rPr>
          <w:rFonts w:asciiTheme="majorHAnsi" w:hAnsiTheme="majorHAnsi"/>
          <w:sz w:val="20"/>
          <w:szCs w:val="20"/>
          <w:lang w:val="es-ES_tradnl"/>
        </w:rPr>
        <w:t xml:space="preserve"> (párr. 119)</w:t>
      </w:r>
      <w:r w:rsidR="00B00C28" w:rsidRPr="002F30E4">
        <w:rPr>
          <w:rFonts w:asciiTheme="majorHAnsi" w:hAnsiTheme="majorHAnsi"/>
          <w:sz w:val="20"/>
          <w:szCs w:val="20"/>
          <w:lang w:val="es-ES_tradnl"/>
        </w:rPr>
        <w:t>.</w:t>
      </w:r>
      <w:r w:rsidR="00451536" w:rsidRPr="002F30E4">
        <w:rPr>
          <w:rFonts w:asciiTheme="majorHAnsi" w:hAnsiTheme="majorHAnsi"/>
          <w:sz w:val="20"/>
          <w:szCs w:val="20"/>
          <w:lang w:val="es-ES_tradnl"/>
        </w:rPr>
        <w:t xml:space="preserve"> </w:t>
      </w:r>
      <w:r w:rsidR="002456C0" w:rsidRPr="002F30E4">
        <w:rPr>
          <w:rFonts w:asciiTheme="majorHAnsi" w:hAnsiTheme="majorHAnsi"/>
          <w:sz w:val="20"/>
          <w:szCs w:val="20"/>
          <w:lang w:val="es-ES_tradnl"/>
        </w:rPr>
        <w:t xml:space="preserve">Por lo tanto, la Comisión Interamericana </w:t>
      </w:r>
      <w:r w:rsidR="004B5CEC">
        <w:rPr>
          <w:rFonts w:asciiTheme="majorHAnsi" w:hAnsiTheme="majorHAnsi"/>
          <w:sz w:val="20"/>
          <w:szCs w:val="20"/>
          <w:lang w:val="es-ES_tradnl"/>
        </w:rPr>
        <w:t>concluye</w:t>
      </w:r>
      <w:r w:rsidR="002456C0" w:rsidRPr="002F30E4">
        <w:rPr>
          <w:rFonts w:asciiTheme="majorHAnsi" w:hAnsiTheme="majorHAnsi"/>
          <w:sz w:val="20"/>
          <w:szCs w:val="20"/>
          <w:lang w:val="es-ES_tradnl"/>
        </w:rPr>
        <w:t xml:space="preserve"> que carece de competencia personal para conocer del presente asunto. </w:t>
      </w:r>
      <w:r w:rsidR="00B00C28" w:rsidRPr="002F30E4">
        <w:rPr>
          <w:rFonts w:asciiTheme="majorHAnsi" w:hAnsiTheme="majorHAnsi"/>
          <w:sz w:val="20"/>
          <w:szCs w:val="20"/>
          <w:lang w:val="es-ES_tradnl"/>
        </w:rPr>
        <w:t xml:space="preserve"> </w:t>
      </w:r>
    </w:p>
    <w:p w14:paraId="29BB41F5" w14:textId="10B46145" w:rsidR="003239B8" w:rsidRPr="002F30E4" w:rsidRDefault="003239B8" w:rsidP="001B4FF4">
      <w:pPr>
        <w:pStyle w:val="ListParagraph"/>
        <w:spacing w:before="240" w:after="240"/>
        <w:jc w:val="both"/>
        <w:rPr>
          <w:rFonts w:asciiTheme="majorHAnsi" w:hAnsiTheme="majorHAnsi"/>
          <w:b/>
          <w:bCs/>
          <w:sz w:val="20"/>
          <w:szCs w:val="20"/>
          <w:lang w:val="es-ES_tradnl"/>
        </w:rPr>
      </w:pPr>
      <w:r w:rsidRPr="002F30E4">
        <w:rPr>
          <w:rFonts w:asciiTheme="majorHAnsi" w:hAnsiTheme="majorHAnsi"/>
          <w:b/>
          <w:bCs/>
          <w:sz w:val="20"/>
          <w:szCs w:val="20"/>
          <w:lang w:val="es-ES_tradnl"/>
        </w:rPr>
        <w:t xml:space="preserve">VII. </w:t>
      </w:r>
      <w:r w:rsidRPr="002F30E4">
        <w:rPr>
          <w:rFonts w:asciiTheme="majorHAnsi" w:hAnsiTheme="majorHAnsi"/>
          <w:b/>
          <w:bCs/>
          <w:sz w:val="20"/>
          <w:szCs w:val="20"/>
          <w:lang w:val="es-ES_tradnl"/>
        </w:rPr>
        <w:tab/>
        <w:t>DECISIÓN</w:t>
      </w:r>
    </w:p>
    <w:p w14:paraId="570DA61C" w14:textId="1C59730D" w:rsidR="000419AD" w:rsidRPr="002F30E4" w:rsidRDefault="000419AD" w:rsidP="000419AD">
      <w:pPr>
        <w:pStyle w:val="ListParagraph"/>
        <w:numPr>
          <w:ilvl w:val="0"/>
          <w:numId w:val="109"/>
        </w:numPr>
        <w:rPr>
          <w:rFonts w:eastAsia="Arial Unicode MS" w:cs="Times New Roman"/>
          <w:color w:val="auto"/>
          <w:sz w:val="20"/>
          <w:szCs w:val="20"/>
          <w:lang w:val="es-ES_tradnl" w:eastAsia="en-US"/>
        </w:rPr>
      </w:pPr>
      <w:r w:rsidRPr="002F30E4">
        <w:rPr>
          <w:rFonts w:eastAsia="Arial Unicode MS" w:cs="Times New Roman"/>
          <w:color w:val="auto"/>
          <w:sz w:val="20"/>
          <w:szCs w:val="20"/>
          <w:lang w:val="es-ES_tradnl" w:eastAsia="en-US"/>
        </w:rPr>
        <w:t>Declarar inadmisible la presente petición</w:t>
      </w:r>
      <w:r w:rsidR="00A758AA" w:rsidRPr="002F30E4">
        <w:rPr>
          <w:rFonts w:eastAsia="Arial Unicode MS" w:cs="Times New Roman"/>
          <w:color w:val="auto"/>
          <w:sz w:val="20"/>
          <w:szCs w:val="20"/>
          <w:lang w:val="es-ES_tradnl" w:eastAsia="en-US"/>
        </w:rPr>
        <w:t>;</w:t>
      </w:r>
      <w:r w:rsidR="004A6A54" w:rsidRPr="002F30E4">
        <w:rPr>
          <w:rFonts w:eastAsia="Arial Unicode MS" w:cs="Times New Roman"/>
          <w:color w:val="auto"/>
          <w:sz w:val="20"/>
          <w:szCs w:val="20"/>
          <w:lang w:val="es-ES_tradnl" w:eastAsia="en-US"/>
        </w:rPr>
        <w:t xml:space="preserve"> y</w:t>
      </w:r>
    </w:p>
    <w:p w14:paraId="41AA5BF6" w14:textId="77777777" w:rsidR="000419AD" w:rsidRPr="002F30E4" w:rsidRDefault="000419AD" w:rsidP="000419AD">
      <w:pPr>
        <w:pStyle w:val="ListParagraph"/>
        <w:rPr>
          <w:rFonts w:eastAsia="Arial Unicode MS" w:cs="Times New Roman"/>
          <w:color w:val="auto"/>
          <w:sz w:val="20"/>
          <w:szCs w:val="20"/>
          <w:lang w:val="es-ES_tradnl" w:eastAsia="en-US"/>
        </w:rPr>
      </w:pPr>
    </w:p>
    <w:p w14:paraId="6AC80CA6" w14:textId="13C92B1C" w:rsidR="00722C9F"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F30E4">
        <w:rPr>
          <w:rFonts w:asciiTheme="majorHAnsi" w:hAnsiTheme="majorHAnsi"/>
          <w:sz w:val="20"/>
          <w:szCs w:val="20"/>
          <w:lang w:val="es-ES_tradnl"/>
        </w:rPr>
        <w:t>Notificar a las partes la presente decisión; y publicar esta decisión e incluirla en su Informe Anual a la Asamblea Gen</w:t>
      </w:r>
      <w:r w:rsidRPr="000F0CA8">
        <w:rPr>
          <w:rFonts w:asciiTheme="majorHAnsi" w:hAnsiTheme="majorHAnsi"/>
          <w:sz w:val="20"/>
          <w:szCs w:val="20"/>
          <w:lang w:val="es-ES"/>
        </w:rPr>
        <w:t>eral de la Organización de los Estados Americanos.</w:t>
      </w:r>
    </w:p>
    <w:p w14:paraId="10D6472D" w14:textId="435CB704" w:rsidR="00051B9F" w:rsidRPr="00284522" w:rsidRDefault="00051B9F" w:rsidP="00284522">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7</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C72C2F">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284522">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sectPr w:rsidR="00051B9F" w:rsidRPr="0028452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70F2" w14:textId="77777777" w:rsidR="00464BCE" w:rsidRDefault="00464BCE">
      <w:r>
        <w:separator/>
      </w:r>
    </w:p>
  </w:endnote>
  <w:endnote w:type="continuationSeparator" w:id="0">
    <w:p w14:paraId="79DD9C66" w14:textId="77777777" w:rsidR="00464BCE" w:rsidRDefault="0046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3110" w14:textId="77777777" w:rsidR="00464BCE" w:rsidRPr="000F35ED" w:rsidRDefault="00464BC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7D221C7" w14:textId="77777777" w:rsidR="00464BCE" w:rsidRPr="000F35ED" w:rsidRDefault="00464BCE" w:rsidP="000F35ED">
      <w:pPr>
        <w:rPr>
          <w:rFonts w:asciiTheme="majorHAnsi" w:hAnsiTheme="majorHAnsi"/>
          <w:sz w:val="16"/>
          <w:szCs w:val="16"/>
        </w:rPr>
      </w:pPr>
      <w:r w:rsidRPr="000F35ED">
        <w:rPr>
          <w:rFonts w:asciiTheme="majorHAnsi" w:hAnsiTheme="majorHAnsi"/>
          <w:sz w:val="16"/>
          <w:szCs w:val="16"/>
        </w:rPr>
        <w:separator/>
      </w:r>
    </w:p>
    <w:p w14:paraId="2366823F" w14:textId="77777777" w:rsidR="00464BCE" w:rsidRPr="000F35ED" w:rsidRDefault="00464BC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5EAC551" w14:textId="77777777" w:rsidR="00464BCE" w:rsidRPr="000F35ED" w:rsidRDefault="00464BC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4462415" w14:textId="5CF722AC" w:rsidR="00C80D5C" w:rsidRPr="00C80D5C" w:rsidRDefault="008A3A41">
      <w:pPr>
        <w:pStyle w:val="FootnoteText"/>
        <w:rPr>
          <w:lang w:val="es-419"/>
        </w:rPr>
      </w:pPr>
      <w:r>
        <w:rPr>
          <w:lang w:val="es-419"/>
        </w:rPr>
        <w:tab/>
      </w:r>
      <w:r w:rsidR="00C80D5C" w:rsidRPr="008A3A41">
        <w:rPr>
          <w:rStyle w:val="FootnoteReference"/>
          <w:rFonts w:asciiTheme="majorHAnsi" w:hAnsiTheme="majorHAnsi"/>
          <w:sz w:val="16"/>
          <w:szCs w:val="16"/>
        </w:rPr>
        <w:footnoteRef/>
      </w:r>
      <w:r>
        <w:rPr>
          <w:lang w:val="es-419"/>
        </w:rPr>
        <w:t xml:space="preserve"> </w:t>
      </w:r>
      <w:r w:rsidRPr="006505D9">
        <w:rPr>
          <w:rFonts w:ascii="Cambria" w:hAnsi="Cambria"/>
          <w:sz w:val="16"/>
          <w:szCs w:val="16"/>
          <w:lang w:val="es-ES"/>
        </w:rPr>
        <w:t xml:space="preserve">Conforme a lo dispuesto en el artículo 17.2.a del Reglamento de la Comisión, el Comisionado </w:t>
      </w:r>
      <w:r w:rsidRPr="00B03C1A">
        <w:rPr>
          <w:rFonts w:ascii="Cambria" w:hAnsi="Cambria"/>
          <w:sz w:val="16"/>
          <w:szCs w:val="16"/>
          <w:lang w:val="es-ES"/>
        </w:rPr>
        <w:t>Carlos Bernal Pulido</w:t>
      </w:r>
      <w:r w:rsidRPr="006505D9">
        <w:rPr>
          <w:rFonts w:ascii="Cambria" w:hAnsi="Cambria"/>
          <w:sz w:val="16"/>
          <w:szCs w:val="16"/>
          <w:lang w:val="es-ES"/>
        </w:rPr>
        <w:t xml:space="preserve">, de nacionalidad </w:t>
      </w:r>
      <w:r>
        <w:rPr>
          <w:rFonts w:ascii="Cambria" w:hAnsi="Cambria"/>
          <w:sz w:val="16"/>
          <w:szCs w:val="16"/>
          <w:lang w:val="es-ES"/>
        </w:rPr>
        <w:t>colombiana</w:t>
      </w:r>
      <w:r w:rsidRPr="006505D9">
        <w:rPr>
          <w:rFonts w:ascii="Cambria" w:hAnsi="Cambria"/>
          <w:sz w:val="16"/>
          <w:szCs w:val="16"/>
          <w:lang w:val="es-ES"/>
        </w:rPr>
        <w:t>, no participó en el debate ni en la decisión del presente asunto.</w:t>
      </w:r>
      <w:r w:rsidR="00C80D5C" w:rsidRPr="00C80D5C">
        <w:rPr>
          <w:lang w:val="es-419"/>
        </w:rPr>
        <w:t xml:space="preserve"> </w:t>
      </w:r>
    </w:p>
  </w:footnote>
  <w:footnote w:id="3">
    <w:p w14:paraId="46F40AF6" w14:textId="0E78BA07" w:rsidR="008C68D9" w:rsidRPr="002456C0" w:rsidRDefault="008C68D9" w:rsidP="000F0CA8">
      <w:pPr>
        <w:pStyle w:val="FootnoteText"/>
        <w:ind w:firstLine="720"/>
        <w:jc w:val="both"/>
        <w:rPr>
          <w:rFonts w:asciiTheme="majorHAnsi" w:hAnsiTheme="majorHAnsi"/>
          <w:sz w:val="16"/>
          <w:szCs w:val="16"/>
          <w:lang w:val="es-ES"/>
        </w:rPr>
      </w:pPr>
      <w:r w:rsidRPr="002456C0">
        <w:rPr>
          <w:rStyle w:val="FootnoteReference"/>
          <w:rFonts w:asciiTheme="majorHAnsi" w:hAnsiTheme="majorHAnsi"/>
          <w:sz w:val="16"/>
          <w:szCs w:val="16"/>
        </w:rPr>
        <w:footnoteRef/>
      </w:r>
      <w:r w:rsidRPr="002456C0">
        <w:rPr>
          <w:rFonts w:asciiTheme="majorHAnsi" w:hAnsiTheme="majorHAnsi"/>
          <w:sz w:val="16"/>
          <w:szCs w:val="16"/>
          <w:lang w:val="es-ES"/>
        </w:rPr>
        <w:t xml:space="preserve"> En adelante “la Convención Americana” o “la Convención”. </w:t>
      </w:r>
    </w:p>
  </w:footnote>
  <w:footnote w:id="4">
    <w:p w14:paraId="79F07139" w14:textId="77777777" w:rsidR="008E3BFE" w:rsidRPr="002456C0" w:rsidRDefault="008E3BFE" w:rsidP="000F0CA8">
      <w:pPr>
        <w:pStyle w:val="FootnoteText"/>
        <w:ind w:firstLine="720"/>
        <w:jc w:val="both"/>
        <w:rPr>
          <w:rFonts w:asciiTheme="majorHAnsi" w:hAnsiTheme="majorHAnsi"/>
          <w:sz w:val="16"/>
          <w:szCs w:val="16"/>
          <w:lang w:val="es-ES"/>
        </w:rPr>
      </w:pPr>
      <w:r w:rsidRPr="002456C0">
        <w:rPr>
          <w:rStyle w:val="FootnoteReference"/>
          <w:rFonts w:asciiTheme="majorHAnsi" w:hAnsiTheme="majorHAnsi"/>
          <w:sz w:val="16"/>
          <w:szCs w:val="16"/>
        </w:rPr>
        <w:footnoteRef/>
      </w:r>
      <w:r w:rsidRPr="002456C0">
        <w:rPr>
          <w:rFonts w:asciiTheme="majorHAnsi" w:hAnsiTheme="majorHAnsi"/>
          <w:sz w:val="16"/>
          <w:szCs w:val="16"/>
          <w:lang w:val="es-ES"/>
        </w:rPr>
        <w:t xml:space="preserve"> Las observaciones de cada parte fueron debidamente trasladadas a la parte contraria.</w:t>
      </w:r>
    </w:p>
  </w:footnote>
  <w:footnote w:id="5">
    <w:p w14:paraId="0BB77FB5" w14:textId="203D26D2" w:rsidR="006E503C" w:rsidRPr="002456C0" w:rsidRDefault="006E503C" w:rsidP="000F0CA8">
      <w:pPr>
        <w:pStyle w:val="FootnoteText"/>
        <w:ind w:firstLine="720"/>
        <w:jc w:val="both"/>
        <w:rPr>
          <w:rFonts w:asciiTheme="majorHAnsi" w:hAnsiTheme="majorHAnsi"/>
          <w:sz w:val="16"/>
          <w:szCs w:val="16"/>
          <w:lang w:val="es-ES"/>
        </w:rPr>
      </w:pPr>
      <w:r w:rsidRPr="002456C0">
        <w:rPr>
          <w:rStyle w:val="FootnoteReference"/>
          <w:rFonts w:asciiTheme="majorHAnsi" w:hAnsiTheme="majorHAnsi"/>
          <w:sz w:val="16"/>
          <w:szCs w:val="16"/>
        </w:rPr>
        <w:footnoteRef/>
      </w:r>
      <w:r w:rsidRPr="002456C0">
        <w:rPr>
          <w:rFonts w:asciiTheme="majorHAnsi" w:hAnsiTheme="majorHAnsi"/>
          <w:sz w:val="16"/>
          <w:szCs w:val="16"/>
          <w:lang w:val="es-ES"/>
        </w:rPr>
        <w:t xml:space="preserve"> </w:t>
      </w:r>
      <w:r w:rsidR="002F547E" w:rsidRPr="002456C0">
        <w:rPr>
          <w:rFonts w:asciiTheme="majorHAnsi" w:hAnsiTheme="majorHAnsi"/>
          <w:sz w:val="16"/>
          <w:szCs w:val="16"/>
          <w:lang w:val="es-ES"/>
        </w:rPr>
        <w:t xml:space="preserve">La herramienta utilizada para calcular el valor </w:t>
      </w:r>
      <w:r w:rsidR="0002041D" w:rsidRPr="002456C0">
        <w:rPr>
          <w:rFonts w:asciiTheme="majorHAnsi" w:hAnsiTheme="majorHAnsi"/>
          <w:sz w:val="16"/>
          <w:szCs w:val="16"/>
          <w:lang w:val="es-ES"/>
        </w:rPr>
        <w:t xml:space="preserve">conforme a la época </w:t>
      </w:r>
      <w:r w:rsidR="002F547E" w:rsidRPr="002456C0">
        <w:rPr>
          <w:rFonts w:asciiTheme="majorHAnsi" w:hAnsiTheme="majorHAnsi"/>
          <w:sz w:val="16"/>
          <w:szCs w:val="16"/>
          <w:lang w:val="es-ES"/>
        </w:rPr>
        <w:t xml:space="preserve">se encuentra disponible en los siguientes enlaces: </w:t>
      </w:r>
      <w:hyperlink r:id="rId1" w:history="1">
        <w:r w:rsidR="002F547E" w:rsidRPr="002456C0">
          <w:rPr>
            <w:rStyle w:val="Hyperlink"/>
            <w:rFonts w:asciiTheme="majorHAnsi" w:hAnsiTheme="majorHAnsi"/>
            <w:sz w:val="16"/>
            <w:szCs w:val="16"/>
            <w:lang w:val="es-ES"/>
          </w:rPr>
          <w:t>https://www.dolar-colombia.com/</w:t>
        </w:r>
      </w:hyperlink>
      <w:r w:rsidR="002F547E" w:rsidRPr="002456C0">
        <w:rPr>
          <w:rFonts w:asciiTheme="majorHAnsi" w:hAnsiTheme="majorHAnsi"/>
          <w:sz w:val="16"/>
          <w:szCs w:val="16"/>
          <w:lang w:val="es-ES"/>
        </w:rPr>
        <w:t xml:space="preserve"> y </w:t>
      </w:r>
      <w:hyperlink r:id="rId2" w:history="1">
        <w:r w:rsidR="002F547E" w:rsidRPr="002456C0">
          <w:rPr>
            <w:rStyle w:val="Hyperlink"/>
            <w:rFonts w:asciiTheme="majorHAnsi" w:hAnsiTheme="majorHAnsi"/>
            <w:sz w:val="16"/>
            <w:szCs w:val="16"/>
            <w:lang w:val="es-ES"/>
          </w:rPr>
          <w:t>https://dolar.wilkinsonpc.com.co/</w:t>
        </w:r>
      </w:hyperlink>
      <w:r w:rsidR="002F547E" w:rsidRPr="002456C0">
        <w:rPr>
          <w:rFonts w:asciiTheme="majorHAnsi" w:hAnsiTheme="majorHAnsi"/>
          <w:sz w:val="16"/>
          <w:szCs w:val="16"/>
          <w:lang w:val="es-ES"/>
        </w:rPr>
        <w:t xml:space="preserve"> </w:t>
      </w:r>
    </w:p>
  </w:footnote>
  <w:footnote w:id="6">
    <w:p w14:paraId="7EC927C2" w14:textId="35BE9F12" w:rsidR="008B5E10" w:rsidRPr="002456C0" w:rsidRDefault="008B5E10" w:rsidP="000F0CA8">
      <w:pPr>
        <w:pStyle w:val="FootnoteText"/>
        <w:ind w:firstLine="720"/>
        <w:jc w:val="both"/>
        <w:rPr>
          <w:rFonts w:asciiTheme="majorHAnsi" w:hAnsiTheme="majorHAnsi"/>
          <w:sz w:val="16"/>
          <w:szCs w:val="16"/>
          <w:lang w:val="es-ES"/>
        </w:rPr>
      </w:pPr>
      <w:r w:rsidRPr="002456C0">
        <w:rPr>
          <w:rStyle w:val="FootnoteReference"/>
          <w:rFonts w:asciiTheme="majorHAnsi" w:hAnsiTheme="majorHAnsi"/>
          <w:sz w:val="16"/>
          <w:szCs w:val="16"/>
        </w:rPr>
        <w:footnoteRef/>
      </w:r>
      <w:r w:rsidRPr="002456C0">
        <w:rPr>
          <w:rFonts w:asciiTheme="majorHAnsi" w:hAnsiTheme="majorHAnsi"/>
          <w:sz w:val="16"/>
          <w:szCs w:val="16"/>
          <w:lang w:val="es-ES"/>
        </w:rPr>
        <w:t xml:space="preserve"> Conforme </w:t>
      </w:r>
      <w:r w:rsidR="007E5EF6" w:rsidRPr="002456C0">
        <w:rPr>
          <w:rFonts w:asciiTheme="majorHAnsi" w:hAnsiTheme="majorHAnsi"/>
          <w:sz w:val="16"/>
          <w:szCs w:val="16"/>
          <w:lang w:val="es-ES"/>
        </w:rPr>
        <w:t xml:space="preserve">a la información dispuesta en su página web, el </w:t>
      </w:r>
      <w:r w:rsidRPr="002456C0">
        <w:rPr>
          <w:rFonts w:asciiTheme="majorHAnsi" w:hAnsiTheme="majorHAnsi"/>
          <w:sz w:val="16"/>
          <w:szCs w:val="16"/>
          <w:lang w:val="es-ES"/>
        </w:rPr>
        <w:t>FOGAFÍN es una autoridad financiera adscrita al Ministerio de Hacienda y Crédito Público</w:t>
      </w:r>
      <w:r w:rsidR="007E5EF6" w:rsidRPr="002456C0">
        <w:rPr>
          <w:rFonts w:asciiTheme="majorHAnsi" w:hAnsiTheme="majorHAnsi"/>
          <w:sz w:val="16"/>
          <w:szCs w:val="16"/>
          <w:lang w:val="es-ES"/>
        </w:rPr>
        <w:t xml:space="preserve"> de Colombia</w:t>
      </w:r>
      <w:r w:rsidRPr="002456C0">
        <w:rPr>
          <w:rFonts w:asciiTheme="majorHAnsi" w:hAnsiTheme="majorHAnsi"/>
          <w:sz w:val="16"/>
          <w:szCs w:val="16"/>
          <w:lang w:val="es-ES"/>
        </w:rPr>
        <w:t>, encargada de proteger los ahorros de los ciudadanos depositados en bancos, corporaciones financieras, compañías de financiamiento, sociedades especializadas en depósitos electrónicos (SEDPES)</w:t>
      </w:r>
      <w:r w:rsidR="007E5EF6" w:rsidRPr="002456C0">
        <w:rPr>
          <w:rFonts w:asciiTheme="majorHAnsi" w:hAnsiTheme="majorHAnsi"/>
          <w:sz w:val="16"/>
          <w:szCs w:val="16"/>
          <w:lang w:val="es-ES"/>
        </w:rPr>
        <w:t xml:space="preserve">. Para ello, el Fogafín aplica, de ser necesario, diferentes operaciones de apoyo a sus entidades inscritas para reducir o minimizar los efectos adversos de situaciones de crisis en el sistema Financiero. Información disponible en: </w:t>
      </w:r>
      <w:hyperlink r:id="rId3" w:history="1">
        <w:r w:rsidR="007E5EF6" w:rsidRPr="002456C0">
          <w:rPr>
            <w:rStyle w:val="Hyperlink"/>
            <w:rFonts w:asciiTheme="majorHAnsi" w:hAnsiTheme="majorHAnsi"/>
            <w:sz w:val="16"/>
            <w:szCs w:val="16"/>
            <w:lang w:val="es-ES"/>
          </w:rPr>
          <w:t>https://www.fogafin.gov.co/</w:t>
        </w:r>
      </w:hyperlink>
      <w:r w:rsidR="007E5EF6" w:rsidRPr="002456C0">
        <w:rPr>
          <w:rFonts w:asciiTheme="majorHAnsi" w:hAnsiTheme="majorHAnsi"/>
          <w:sz w:val="16"/>
          <w:szCs w:val="16"/>
          <w:lang w:val="es-ES"/>
        </w:rPr>
        <w:t xml:space="preserve"> </w:t>
      </w:r>
    </w:p>
  </w:footnote>
  <w:footnote w:id="7">
    <w:p w14:paraId="7FB3107F" w14:textId="05078F5B" w:rsidR="007E5EF6" w:rsidRPr="002456C0" w:rsidRDefault="007E5EF6" w:rsidP="000F0CA8">
      <w:pPr>
        <w:pStyle w:val="FootnoteText"/>
        <w:ind w:firstLine="720"/>
        <w:jc w:val="both"/>
        <w:rPr>
          <w:rFonts w:asciiTheme="majorHAnsi" w:hAnsiTheme="majorHAnsi"/>
          <w:sz w:val="16"/>
          <w:szCs w:val="16"/>
          <w:lang w:val="es-ES"/>
        </w:rPr>
      </w:pPr>
      <w:r w:rsidRPr="002456C0">
        <w:rPr>
          <w:rStyle w:val="FootnoteReference"/>
          <w:rFonts w:asciiTheme="majorHAnsi" w:hAnsiTheme="majorHAnsi"/>
          <w:sz w:val="16"/>
          <w:szCs w:val="16"/>
        </w:rPr>
        <w:footnoteRef/>
      </w:r>
      <w:r w:rsidRPr="002456C0">
        <w:rPr>
          <w:rFonts w:asciiTheme="majorHAnsi" w:hAnsiTheme="majorHAnsi"/>
          <w:sz w:val="16"/>
          <w:szCs w:val="16"/>
          <w:lang w:val="es-ES"/>
        </w:rPr>
        <w:t xml:space="preserve"> La herramienta utilizada para calcular el valor </w:t>
      </w:r>
      <w:r w:rsidR="0002041D" w:rsidRPr="002456C0">
        <w:rPr>
          <w:rFonts w:asciiTheme="majorHAnsi" w:hAnsiTheme="majorHAnsi"/>
          <w:sz w:val="16"/>
          <w:szCs w:val="16"/>
          <w:lang w:val="es-ES"/>
        </w:rPr>
        <w:t xml:space="preserve">conforme a la época </w:t>
      </w:r>
      <w:r w:rsidRPr="002456C0">
        <w:rPr>
          <w:rFonts w:asciiTheme="majorHAnsi" w:hAnsiTheme="majorHAnsi"/>
          <w:sz w:val="16"/>
          <w:szCs w:val="16"/>
          <w:lang w:val="es-ES"/>
        </w:rPr>
        <w:t xml:space="preserve">se encuentra disponible en los siguientes enlaces: </w:t>
      </w:r>
      <w:hyperlink r:id="rId4" w:history="1">
        <w:r w:rsidRPr="002456C0">
          <w:rPr>
            <w:rStyle w:val="Hyperlink"/>
            <w:rFonts w:asciiTheme="majorHAnsi" w:hAnsiTheme="majorHAnsi"/>
            <w:sz w:val="16"/>
            <w:szCs w:val="16"/>
            <w:lang w:val="es-ES"/>
          </w:rPr>
          <w:t>https://www.dolar-colombia.com/</w:t>
        </w:r>
      </w:hyperlink>
      <w:r w:rsidRPr="002456C0">
        <w:rPr>
          <w:rFonts w:asciiTheme="majorHAnsi" w:hAnsiTheme="majorHAnsi"/>
          <w:sz w:val="16"/>
          <w:szCs w:val="16"/>
          <w:lang w:val="es-ES"/>
        </w:rPr>
        <w:t xml:space="preserve"> y </w:t>
      </w:r>
      <w:hyperlink r:id="rId5" w:history="1">
        <w:r w:rsidRPr="002456C0">
          <w:rPr>
            <w:rStyle w:val="Hyperlink"/>
            <w:rFonts w:asciiTheme="majorHAnsi" w:hAnsiTheme="majorHAnsi"/>
            <w:sz w:val="16"/>
            <w:szCs w:val="16"/>
            <w:lang w:val="es-ES"/>
          </w:rPr>
          <w:t>https://dolar.wilkinsonpc.com.co/</w:t>
        </w:r>
      </w:hyperlink>
      <w:r w:rsidRPr="002456C0">
        <w:rPr>
          <w:rFonts w:asciiTheme="majorHAnsi" w:hAnsiTheme="majorHAnsi"/>
          <w:sz w:val="16"/>
          <w:szCs w:val="16"/>
          <w:lang w:val="es-ES"/>
        </w:rPr>
        <w:t xml:space="preserve"> </w:t>
      </w:r>
    </w:p>
  </w:footnote>
  <w:footnote w:id="8">
    <w:p w14:paraId="137C9524" w14:textId="26CDF48F" w:rsidR="0002041D" w:rsidRPr="002456C0" w:rsidRDefault="0002041D" w:rsidP="000F0CA8">
      <w:pPr>
        <w:pStyle w:val="FootnoteText"/>
        <w:ind w:firstLine="720"/>
        <w:jc w:val="both"/>
        <w:rPr>
          <w:rFonts w:asciiTheme="majorHAnsi" w:hAnsiTheme="majorHAnsi"/>
          <w:sz w:val="16"/>
          <w:szCs w:val="16"/>
          <w:lang w:val="es-ES"/>
        </w:rPr>
      </w:pPr>
      <w:r w:rsidRPr="002456C0">
        <w:rPr>
          <w:rStyle w:val="FootnoteReference"/>
          <w:rFonts w:asciiTheme="majorHAnsi" w:hAnsiTheme="majorHAnsi"/>
          <w:sz w:val="16"/>
          <w:szCs w:val="16"/>
        </w:rPr>
        <w:footnoteRef/>
      </w:r>
      <w:r w:rsidRPr="002456C0">
        <w:rPr>
          <w:rFonts w:asciiTheme="majorHAnsi" w:hAnsiTheme="majorHAnsi"/>
          <w:sz w:val="16"/>
          <w:szCs w:val="16"/>
          <w:lang w:val="es-ES"/>
        </w:rPr>
        <w:t xml:space="preserve"> La herramienta utilizada para calcular el valor conforme a la época se encuentra disponible en los siguientes enlaces: </w:t>
      </w:r>
      <w:hyperlink r:id="rId6" w:history="1">
        <w:r w:rsidRPr="002456C0">
          <w:rPr>
            <w:rStyle w:val="Hyperlink"/>
            <w:rFonts w:asciiTheme="majorHAnsi" w:hAnsiTheme="majorHAnsi"/>
            <w:sz w:val="16"/>
            <w:szCs w:val="16"/>
            <w:lang w:val="es-ES"/>
          </w:rPr>
          <w:t>https://www.dolar-colombia.com/</w:t>
        </w:r>
      </w:hyperlink>
      <w:r w:rsidRPr="002456C0">
        <w:rPr>
          <w:rFonts w:asciiTheme="majorHAnsi" w:hAnsiTheme="majorHAnsi"/>
          <w:sz w:val="16"/>
          <w:szCs w:val="16"/>
          <w:lang w:val="es-ES"/>
        </w:rPr>
        <w:t xml:space="preserve"> y </w:t>
      </w:r>
      <w:hyperlink r:id="rId7" w:history="1">
        <w:r w:rsidRPr="002456C0">
          <w:rPr>
            <w:rStyle w:val="Hyperlink"/>
            <w:rFonts w:asciiTheme="majorHAnsi" w:hAnsiTheme="majorHAnsi"/>
            <w:sz w:val="16"/>
            <w:szCs w:val="16"/>
            <w:lang w:val="es-ES"/>
          </w:rPr>
          <w:t>https://dolar.wilkinsonpc.com.co/</w:t>
        </w:r>
      </w:hyperlink>
      <w:r w:rsidRPr="002456C0">
        <w:rPr>
          <w:rFonts w:asciiTheme="majorHAnsi" w:hAnsiTheme="majorHAnsi"/>
          <w:sz w:val="16"/>
          <w:szCs w:val="16"/>
          <w:lang w:val="es-ES"/>
        </w:rPr>
        <w:t xml:space="preserve"> </w:t>
      </w:r>
    </w:p>
  </w:footnote>
  <w:footnote w:id="9">
    <w:p w14:paraId="0CDAC7C3" w14:textId="77777777" w:rsidR="0058083F" w:rsidRPr="002456C0" w:rsidRDefault="0058083F" w:rsidP="000F0CA8">
      <w:pPr>
        <w:pStyle w:val="FootnoteText"/>
        <w:ind w:firstLine="720"/>
        <w:jc w:val="both"/>
        <w:rPr>
          <w:rFonts w:asciiTheme="majorHAnsi" w:hAnsiTheme="majorHAnsi"/>
          <w:sz w:val="16"/>
          <w:szCs w:val="16"/>
          <w:lang w:val="pt-BR"/>
        </w:rPr>
      </w:pPr>
      <w:r w:rsidRPr="002456C0">
        <w:rPr>
          <w:rStyle w:val="FootnoteReference"/>
          <w:rFonts w:asciiTheme="majorHAnsi" w:hAnsiTheme="majorHAnsi" w:cs="Times"/>
          <w:sz w:val="16"/>
          <w:szCs w:val="16"/>
        </w:rPr>
        <w:footnoteRef/>
      </w:r>
      <w:r w:rsidRPr="002456C0">
        <w:rPr>
          <w:rFonts w:asciiTheme="majorHAnsi" w:hAnsiTheme="majorHAnsi" w:cs="Times"/>
          <w:sz w:val="16"/>
          <w:szCs w:val="16"/>
          <w:vertAlign w:val="superscript"/>
          <w:lang w:val="es-AR"/>
        </w:rPr>
        <w:t xml:space="preserve"> </w:t>
      </w:r>
      <w:r w:rsidRPr="002456C0">
        <w:rPr>
          <w:rFonts w:asciiTheme="majorHAnsi" w:hAnsiTheme="majorHAnsi" w:cs="Times"/>
          <w:sz w:val="16"/>
          <w:szCs w:val="16"/>
          <w:lang w:val="es-AR"/>
        </w:rPr>
        <w:t xml:space="preserve">Los siguientes casos, entre otros:  CIDH, </w:t>
      </w:r>
      <w:r w:rsidRPr="002456C0">
        <w:rPr>
          <w:rFonts w:asciiTheme="majorHAnsi" w:hAnsiTheme="majorHAnsi" w:cs="Times"/>
          <w:i/>
          <w:sz w:val="16"/>
          <w:szCs w:val="16"/>
          <w:lang w:val="es-AR"/>
        </w:rPr>
        <w:t xml:space="preserve">Banco de Lima, </w:t>
      </w:r>
      <w:r w:rsidRPr="002456C0">
        <w:rPr>
          <w:rFonts w:asciiTheme="majorHAnsi" w:hAnsiTheme="majorHAnsi" w:cs="Times"/>
          <w:sz w:val="16"/>
          <w:szCs w:val="16"/>
          <w:lang w:val="es-AR"/>
        </w:rPr>
        <w:t xml:space="preserve">Informe N° 10/91, Caso 10.169, Perú, Informe Anual 1990-1991, p. 452 y sig.  </w:t>
      </w:r>
      <w:r w:rsidRPr="002456C0">
        <w:rPr>
          <w:rFonts w:asciiTheme="majorHAnsi" w:hAnsiTheme="majorHAnsi" w:cs="Times"/>
          <w:sz w:val="16"/>
          <w:szCs w:val="16"/>
          <w:lang w:val="pt-BR"/>
        </w:rPr>
        <w:t xml:space="preserve">CIDH, </w:t>
      </w:r>
      <w:r w:rsidRPr="002456C0">
        <w:rPr>
          <w:rFonts w:asciiTheme="majorHAnsi" w:hAnsiTheme="majorHAnsi" w:cs="Times"/>
          <w:i/>
          <w:sz w:val="16"/>
          <w:szCs w:val="16"/>
          <w:lang w:val="pt-BR"/>
        </w:rPr>
        <w:t xml:space="preserve">Tabacalera Boquerón, </w:t>
      </w:r>
      <w:r w:rsidRPr="002456C0">
        <w:rPr>
          <w:rFonts w:asciiTheme="majorHAnsi" w:hAnsiTheme="majorHAnsi" w:cs="Times"/>
          <w:sz w:val="16"/>
          <w:szCs w:val="16"/>
          <w:lang w:val="pt-BR"/>
        </w:rPr>
        <w:t xml:space="preserve">Informe N° 47/97, Paraguay, Informe Anual 1997, p. 229 y sig.  CIDH, </w:t>
      </w:r>
      <w:r w:rsidRPr="002456C0">
        <w:rPr>
          <w:rFonts w:asciiTheme="majorHAnsi" w:hAnsiTheme="majorHAnsi" w:cs="Times"/>
          <w:i/>
          <w:sz w:val="16"/>
          <w:szCs w:val="16"/>
          <w:lang w:val="pt-BR"/>
        </w:rPr>
        <w:t>Mevopal, S.A.,</w:t>
      </w:r>
      <w:r w:rsidRPr="002456C0">
        <w:rPr>
          <w:rFonts w:asciiTheme="majorHAnsi" w:hAnsiTheme="majorHAnsi" w:cs="Times"/>
          <w:sz w:val="16"/>
          <w:szCs w:val="16"/>
          <w:lang w:val="pt-BR"/>
        </w:rPr>
        <w:t xml:space="preserve"> Informe N° 39/99, Argentina, Informe Anual 1999.  CIDH, </w:t>
      </w:r>
      <w:r w:rsidRPr="002456C0">
        <w:rPr>
          <w:rFonts w:asciiTheme="majorHAnsi" w:hAnsiTheme="majorHAnsi" w:cs="Times"/>
          <w:i/>
          <w:sz w:val="16"/>
          <w:szCs w:val="16"/>
          <w:lang w:val="pt-BR"/>
        </w:rPr>
        <w:t xml:space="preserve">Bernard Merens y Familia, </w:t>
      </w:r>
      <w:r w:rsidRPr="002456C0">
        <w:rPr>
          <w:rFonts w:asciiTheme="majorHAnsi" w:hAnsiTheme="majorHAnsi" w:cs="Times"/>
          <w:sz w:val="16"/>
          <w:szCs w:val="16"/>
          <w:lang w:val="pt-BR"/>
        </w:rPr>
        <w:t xml:space="preserve">Informe N° 103/99, Argentina, Informe Anual 1999.  CIDH, </w:t>
      </w:r>
      <w:r w:rsidRPr="002456C0">
        <w:rPr>
          <w:rFonts w:asciiTheme="majorHAnsi" w:hAnsiTheme="majorHAnsi" w:cs="Times"/>
          <w:i/>
          <w:sz w:val="16"/>
          <w:szCs w:val="16"/>
          <w:lang w:val="pt-BR"/>
        </w:rPr>
        <w:t>Bendeck- COHDINSA,</w:t>
      </w:r>
      <w:r w:rsidRPr="002456C0">
        <w:rPr>
          <w:rFonts w:asciiTheme="majorHAnsi" w:hAnsiTheme="majorHAnsi" w:cs="Times"/>
          <w:sz w:val="16"/>
          <w:szCs w:val="16"/>
          <w:lang w:val="pt-BR"/>
        </w:rPr>
        <w:t xml:space="preserve"> Informe N° 106/99, Honduras, Informe Anual 1999.</w:t>
      </w:r>
    </w:p>
  </w:footnote>
  <w:footnote w:id="10">
    <w:p w14:paraId="1A1F7050" w14:textId="44F0ADBF" w:rsidR="0058083F" w:rsidRPr="006D5F75" w:rsidRDefault="0058083F" w:rsidP="000F0CA8">
      <w:pPr>
        <w:pStyle w:val="FootnoteText"/>
        <w:ind w:firstLine="720"/>
        <w:jc w:val="both"/>
        <w:rPr>
          <w:rFonts w:asciiTheme="majorHAnsi" w:hAnsiTheme="majorHAnsi"/>
          <w:sz w:val="16"/>
          <w:szCs w:val="16"/>
          <w:lang w:val="es-US"/>
        </w:rPr>
      </w:pPr>
      <w:r w:rsidRPr="002456C0">
        <w:rPr>
          <w:rStyle w:val="FootnoteReference"/>
          <w:rFonts w:asciiTheme="majorHAnsi" w:hAnsiTheme="majorHAnsi"/>
          <w:sz w:val="16"/>
          <w:szCs w:val="16"/>
        </w:rPr>
        <w:footnoteRef/>
      </w:r>
      <w:r w:rsidRPr="00F2225B">
        <w:rPr>
          <w:rFonts w:asciiTheme="majorHAnsi" w:hAnsiTheme="majorHAnsi"/>
          <w:sz w:val="16"/>
          <w:szCs w:val="16"/>
          <w:lang w:val="pt-BR"/>
        </w:rPr>
        <w:t xml:space="preserve"> CIDH, Informe Nº 40/05 (Inadmisibilidad), Petición 12.139, José Luis Forzanni Ballardo, Perú, 9 de marzo de 2005, párrs. </w:t>
      </w:r>
      <w:r w:rsidRPr="002456C0">
        <w:rPr>
          <w:rFonts w:asciiTheme="majorHAnsi" w:hAnsiTheme="majorHAnsi"/>
          <w:sz w:val="16"/>
          <w:szCs w:val="16"/>
          <w:lang w:val="es-US"/>
        </w:rPr>
        <w:t xml:space="preserve">35 y 40. A este respecto, </w:t>
      </w:r>
      <w:r w:rsidR="00284522" w:rsidRPr="002456C0">
        <w:rPr>
          <w:rFonts w:asciiTheme="majorHAnsi" w:hAnsiTheme="majorHAnsi"/>
          <w:sz w:val="16"/>
          <w:szCs w:val="16"/>
          <w:lang w:val="es-US"/>
        </w:rPr>
        <w:t>véase,</w:t>
      </w:r>
      <w:r w:rsidRPr="002456C0">
        <w:rPr>
          <w:rFonts w:asciiTheme="majorHAnsi" w:hAnsiTheme="majorHAnsi"/>
          <w:sz w:val="16"/>
          <w:szCs w:val="16"/>
          <w:lang w:val="es-US"/>
        </w:rPr>
        <w:t xml:space="preserve"> </w:t>
      </w:r>
      <w:r w:rsidR="006D5F75" w:rsidRPr="002456C0">
        <w:rPr>
          <w:rFonts w:asciiTheme="majorHAnsi" w:hAnsiTheme="majorHAnsi"/>
          <w:sz w:val="16"/>
          <w:szCs w:val="16"/>
          <w:lang w:val="es-US"/>
        </w:rPr>
        <w:t>además: CIDH, Informe Nº 83/05 (Inadmisibilidad), Petición 644/00, Carlos Alberto López Urquía, Honduras, 24 de octubre de 2005, párr. 42</w:t>
      </w:r>
      <w:r w:rsidR="002456C0" w:rsidRPr="002456C0">
        <w:rPr>
          <w:rFonts w:asciiTheme="majorHAnsi" w:hAnsiTheme="majorHAnsi"/>
          <w:sz w:val="16"/>
          <w:szCs w:val="16"/>
          <w:lang w:val="es-US"/>
        </w:rPr>
        <w:t>; y</w:t>
      </w:r>
      <w:r w:rsidR="006D5F75" w:rsidRPr="002456C0">
        <w:rPr>
          <w:rFonts w:asciiTheme="majorHAnsi" w:hAnsiTheme="majorHAnsi"/>
          <w:sz w:val="16"/>
          <w:szCs w:val="16"/>
          <w:lang w:val="es-US"/>
        </w:rPr>
        <w:t xml:space="preserve"> CIDH, Informe Nº 122/10 (Admisibilidad), Petición 475-00, Carlos Arturo Betancourt Estrada y otros, Colombia, 23 de octubre de 2010, párr.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4E06FA"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58DEC030"/>
    <w:lvl w:ilvl="0" w:tplc="786C4858">
      <w:start w:val="1"/>
      <w:numFmt w:val="decimal"/>
      <w:lvlText w:val="%1."/>
      <w:lvlJc w:val="left"/>
      <w:pPr>
        <w:tabs>
          <w:tab w:val="num" w:pos="720"/>
        </w:tabs>
        <w:ind w:left="0" w:firstLine="720"/>
      </w:pPr>
      <w:rPr>
        <w:rFonts w:asciiTheme="majorHAnsi" w:hAnsiTheme="majorHAnsi" w:hint="default"/>
        <w:b w:val="0"/>
        <w:b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46323718">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69691632">
    <w:abstractNumId w:val="5"/>
  </w:num>
  <w:num w:numId="3" w16cid:durableId="1614706077">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352144183">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381903993">
    <w:abstractNumId w:val="7"/>
  </w:num>
  <w:num w:numId="6" w16cid:durableId="1188639855">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75520780">
    <w:abstractNumId w:val="60"/>
  </w:num>
  <w:num w:numId="8" w16cid:durableId="658047490">
    <w:abstractNumId w:val="23"/>
  </w:num>
  <w:num w:numId="9" w16cid:durableId="2068260917">
    <w:abstractNumId w:val="51"/>
  </w:num>
  <w:num w:numId="10" w16cid:durableId="95309579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2050061104">
    <w:abstractNumId w:val="29"/>
  </w:num>
  <w:num w:numId="12" w16cid:durableId="603881379">
    <w:abstractNumId w:val="58"/>
  </w:num>
  <w:num w:numId="13" w16cid:durableId="1436902362">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613896742">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374191461">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709987868">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81459492">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651714120">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46581664">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270819708">
    <w:abstractNumId w:val="8"/>
  </w:num>
  <w:num w:numId="21" w16cid:durableId="1382023749">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144346228">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739793650">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839997253">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86594572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571771230">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93150186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993361484">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329288505">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774276423">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91601764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8436990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700127669">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36695237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743643650">
    <w:abstractNumId w:val="19"/>
  </w:num>
  <w:num w:numId="36" w16cid:durableId="196557648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592738991">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203568609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10148507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823667801">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50255253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851648450">
    <w:abstractNumId w:val="41"/>
  </w:num>
  <w:num w:numId="43" w16cid:durableId="37455146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966500030">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22363798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4137049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636690748">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41386712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74367680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2144060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361491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887373536">
    <w:abstractNumId w:val="45"/>
  </w:num>
  <w:num w:numId="53" w16cid:durableId="1851137845">
    <w:abstractNumId w:val="0"/>
  </w:num>
  <w:num w:numId="54" w16cid:durableId="776296688">
    <w:abstractNumId w:val="40"/>
  </w:num>
  <w:num w:numId="55" w16cid:durableId="680277950">
    <w:abstractNumId w:val="41"/>
  </w:num>
  <w:num w:numId="56" w16cid:durableId="2146704042">
    <w:abstractNumId w:val="47"/>
  </w:num>
  <w:num w:numId="57" w16cid:durableId="53966438">
    <w:abstractNumId w:val="1"/>
  </w:num>
  <w:num w:numId="58" w16cid:durableId="440345278">
    <w:abstractNumId w:val="2"/>
  </w:num>
  <w:num w:numId="59" w16cid:durableId="1103116222">
    <w:abstractNumId w:val="9"/>
  </w:num>
  <w:num w:numId="60" w16cid:durableId="1714307970">
    <w:abstractNumId w:val="10"/>
  </w:num>
  <w:num w:numId="61" w16cid:durableId="211960503">
    <w:abstractNumId w:val="11"/>
  </w:num>
  <w:num w:numId="62" w16cid:durableId="893082327">
    <w:abstractNumId w:val="12"/>
  </w:num>
  <w:num w:numId="63" w16cid:durableId="2105804975">
    <w:abstractNumId w:val="13"/>
  </w:num>
  <w:num w:numId="64" w16cid:durableId="260768292">
    <w:abstractNumId w:val="15"/>
  </w:num>
  <w:num w:numId="65" w16cid:durableId="1448770216">
    <w:abstractNumId w:val="16"/>
  </w:num>
  <w:num w:numId="66" w16cid:durableId="1450516474">
    <w:abstractNumId w:val="17"/>
  </w:num>
  <w:num w:numId="67" w16cid:durableId="386340656">
    <w:abstractNumId w:val="18"/>
  </w:num>
  <w:num w:numId="68" w16cid:durableId="736972051">
    <w:abstractNumId w:val="20"/>
  </w:num>
  <w:num w:numId="69" w16cid:durableId="77866322">
    <w:abstractNumId w:val="21"/>
  </w:num>
  <w:num w:numId="70" w16cid:durableId="676465682">
    <w:abstractNumId w:val="24"/>
  </w:num>
  <w:num w:numId="71" w16cid:durableId="2017951302">
    <w:abstractNumId w:val="25"/>
  </w:num>
  <w:num w:numId="72" w16cid:durableId="1563560187">
    <w:abstractNumId w:val="26"/>
  </w:num>
  <w:num w:numId="73" w16cid:durableId="798762048">
    <w:abstractNumId w:val="28"/>
  </w:num>
  <w:num w:numId="74" w16cid:durableId="1015964034">
    <w:abstractNumId w:val="30"/>
  </w:num>
  <w:num w:numId="75" w16cid:durableId="1777292470">
    <w:abstractNumId w:val="32"/>
  </w:num>
  <w:num w:numId="76" w16cid:durableId="607348011">
    <w:abstractNumId w:val="33"/>
  </w:num>
  <w:num w:numId="77" w16cid:durableId="1146892323">
    <w:abstractNumId w:val="34"/>
  </w:num>
  <w:num w:numId="78" w16cid:durableId="1286234979">
    <w:abstractNumId w:val="35"/>
  </w:num>
  <w:num w:numId="79" w16cid:durableId="2145273859">
    <w:abstractNumId w:val="36"/>
  </w:num>
  <w:num w:numId="80" w16cid:durableId="2080590762">
    <w:abstractNumId w:val="37"/>
  </w:num>
  <w:num w:numId="81" w16cid:durableId="1991324784">
    <w:abstractNumId w:val="38"/>
  </w:num>
  <w:num w:numId="82" w16cid:durableId="1255896300">
    <w:abstractNumId w:val="42"/>
  </w:num>
  <w:num w:numId="83" w16cid:durableId="665595913">
    <w:abstractNumId w:val="43"/>
  </w:num>
  <w:num w:numId="84" w16cid:durableId="862288353">
    <w:abstractNumId w:val="49"/>
  </w:num>
  <w:num w:numId="85" w16cid:durableId="397822673">
    <w:abstractNumId w:val="52"/>
  </w:num>
  <w:num w:numId="86" w16cid:durableId="1209882101">
    <w:abstractNumId w:val="55"/>
  </w:num>
  <w:num w:numId="87" w16cid:durableId="1655724179">
    <w:abstractNumId w:val="57"/>
  </w:num>
  <w:num w:numId="88" w16cid:durableId="1979534332">
    <w:abstractNumId w:val="59"/>
  </w:num>
  <w:num w:numId="89" w16cid:durableId="1817643545">
    <w:abstractNumId w:val="61"/>
  </w:num>
  <w:num w:numId="90" w16cid:durableId="1608539704">
    <w:abstractNumId w:val="62"/>
  </w:num>
  <w:num w:numId="91" w16cid:durableId="989478274">
    <w:abstractNumId w:val="63"/>
  </w:num>
  <w:num w:numId="92" w16cid:durableId="1691762555">
    <w:abstractNumId w:val="64"/>
  </w:num>
  <w:num w:numId="93" w16cid:durableId="1439570178">
    <w:abstractNumId w:val="66"/>
  </w:num>
  <w:num w:numId="94" w16cid:durableId="1268081641">
    <w:abstractNumId w:val="22"/>
  </w:num>
  <w:num w:numId="95" w16cid:durableId="1892418344">
    <w:abstractNumId w:val="44"/>
  </w:num>
  <w:num w:numId="96" w16cid:durableId="395857437">
    <w:abstractNumId w:val="56"/>
  </w:num>
  <w:num w:numId="97" w16cid:durableId="828864610">
    <w:abstractNumId w:val="53"/>
  </w:num>
  <w:num w:numId="98" w16cid:durableId="251740161">
    <w:abstractNumId w:val="48"/>
  </w:num>
  <w:num w:numId="99" w16cid:durableId="1464159265">
    <w:abstractNumId w:val="39"/>
  </w:num>
  <w:num w:numId="100" w16cid:durableId="1803771481">
    <w:abstractNumId w:val="3"/>
  </w:num>
  <w:num w:numId="101" w16cid:durableId="12387233">
    <w:abstractNumId w:val="27"/>
  </w:num>
  <w:num w:numId="102" w16cid:durableId="1521122274">
    <w:abstractNumId w:val="50"/>
  </w:num>
  <w:num w:numId="103" w16cid:durableId="1522083263">
    <w:abstractNumId w:val="6"/>
  </w:num>
  <w:num w:numId="104" w16cid:durableId="739906163">
    <w:abstractNumId w:val="65"/>
  </w:num>
  <w:num w:numId="105" w16cid:durableId="865021702">
    <w:abstractNumId w:val="54"/>
  </w:num>
  <w:num w:numId="106" w16cid:durableId="347105647">
    <w:abstractNumId w:val="4"/>
  </w:num>
  <w:num w:numId="107" w16cid:durableId="801112674">
    <w:abstractNumId w:val="31"/>
  </w:num>
  <w:num w:numId="108" w16cid:durableId="1928611684">
    <w:abstractNumId w:val="14"/>
  </w:num>
  <w:num w:numId="109" w16cid:durableId="26211063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D1D"/>
    <w:rsid w:val="00006E1F"/>
    <w:rsid w:val="000070D7"/>
    <w:rsid w:val="0001788C"/>
    <w:rsid w:val="0002041D"/>
    <w:rsid w:val="000337EF"/>
    <w:rsid w:val="00040C3A"/>
    <w:rsid w:val="000419AD"/>
    <w:rsid w:val="000433C9"/>
    <w:rsid w:val="00051B9F"/>
    <w:rsid w:val="00065470"/>
    <w:rsid w:val="00065592"/>
    <w:rsid w:val="000716C5"/>
    <w:rsid w:val="0007202B"/>
    <w:rsid w:val="00075E23"/>
    <w:rsid w:val="000776BD"/>
    <w:rsid w:val="00092052"/>
    <w:rsid w:val="0009344A"/>
    <w:rsid w:val="000A392E"/>
    <w:rsid w:val="000A575F"/>
    <w:rsid w:val="000B5C46"/>
    <w:rsid w:val="000B6EC7"/>
    <w:rsid w:val="000B72DD"/>
    <w:rsid w:val="000C02C1"/>
    <w:rsid w:val="000D05CB"/>
    <w:rsid w:val="000D10DB"/>
    <w:rsid w:val="000D1988"/>
    <w:rsid w:val="000D5828"/>
    <w:rsid w:val="000E10E6"/>
    <w:rsid w:val="000E5EB5"/>
    <w:rsid w:val="000F0CA8"/>
    <w:rsid w:val="000F35ED"/>
    <w:rsid w:val="000F7FEF"/>
    <w:rsid w:val="00107131"/>
    <w:rsid w:val="0010736F"/>
    <w:rsid w:val="00113F73"/>
    <w:rsid w:val="00121CC2"/>
    <w:rsid w:val="00131425"/>
    <w:rsid w:val="00133EE5"/>
    <w:rsid w:val="001513F9"/>
    <w:rsid w:val="00157077"/>
    <w:rsid w:val="00167A34"/>
    <w:rsid w:val="001702CC"/>
    <w:rsid w:val="001A27D3"/>
    <w:rsid w:val="001A7870"/>
    <w:rsid w:val="001B3A00"/>
    <w:rsid w:val="001B4FF4"/>
    <w:rsid w:val="001C0786"/>
    <w:rsid w:val="001C1B41"/>
    <w:rsid w:val="001D65EF"/>
    <w:rsid w:val="001E49E7"/>
    <w:rsid w:val="001E4E90"/>
    <w:rsid w:val="001F7201"/>
    <w:rsid w:val="00200353"/>
    <w:rsid w:val="00223A29"/>
    <w:rsid w:val="002250A3"/>
    <w:rsid w:val="00235217"/>
    <w:rsid w:val="002456C0"/>
    <w:rsid w:val="00246D1F"/>
    <w:rsid w:val="00247403"/>
    <w:rsid w:val="00247542"/>
    <w:rsid w:val="00266B61"/>
    <w:rsid w:val="0026712A"/>
    <w:rsid w:val="002704DB"/>
    <w:rsid w:val="00273CD8"/>
    <w:rsid w:val="00274AEA"/>
    <w:rsid w:val="00283869"/>
    <w:rsid w:val="00284522"/>
    <w:rsid w:val="002878F8"/>
    <w:rsid w:val="002A0AAE"/>
    <w:rsid w:val="002A5820"/>
    <w:rsid w:val="002C7015"/>
    <w:rsid w:val="002D2B26"/>
    <w:rsid w:val="002D7EA2"/>
    <w:rsid w:val="002E187C"/>
    <w:rsid w:val="002F2265"/>
    <w:rsid w:val="002F30E4"/>
    <w:rsid w:val="002F547E"/>
    <w:rsid w:val="00302733"/>
    <w:rsid w:val="00314078"/>
    <w:rsid w:val="0031535D"/>
    <w:rsid w:val="00320D3E"/>
    <w:rsid w:val="003224BE"/>
    <w:rsid w:val="003239B8"/>
    <w:rsid w:val="0033169F"/>
    <w:rsid w:val="003427CF"/>
    <w:rsid w:val="00343BE0"/>
    <w:rsid w:val="00343CA3"/>
    <w:rsid w:val="00344977"/>
    <w:rsid w:val="003457C0"/>
    <w:rsid w:val="00346C95"/>
    <w:rsid w:val="00356185"/>
    <w:rsid w:val="00360380"/>
    <w:rsid w:val="0037519E"/>
    <w:rsid w:val="00377066"/>
    <w:rsid w:val="00386CF0"/>
    <w:rsid w:val="00392DFF"/>
    <w:rsid w:val="00394014"/>
    <w:rsid w:val="003B6A8A"/>
    <w:rsid w:val="003B70FB"/>
    <w:rsid w:val="003C676B"/>
    <w:rsid w:val="003D3BC2"/>
    <w:rsid w:val="003E617D"/>
    <w:rsid w:val="003E6CA1"/>
    <w:rsid w:val="003F2E21"/>
    <w:rsid w:val="00405F9C"/>
    <w:rsid w:val="004065A8"/>
    <w:rsid w:val="00411C41"/>
    <w:rsid w:val="004165C2"/>
    <w:rsid w:val="00424BC2"/>
    <w:rsid w:val="00441ECB"/>
    <w:rsid w:val="00445193"/>
    <w:rsid w:val="00451536"/>
    <w:rsid w:val="00461F14"/>
    <w:rsid w:val="00462C1B"/>
    <w:rsid w:val="00464BCE"/>
    <w:rsid w:val="00467B7E"/>
    <w:rsid w:val="00473BB4"/>
    <w:rsid w:val="00477592"/>
    <w:rsid w:val="00486F1C"/>
    <w:rsid w:val="00492FAA"/>
    <w:rsid w:val="0049419D"/>
    <w:rsid w:val="004A6A54"/>
    <w:rsid w:val="004B0CAB"/>
    <w:rsid w:val="004B5CEC"/>
    <w:rsid w:val="004B6F65"/>
    <w:rsid w:val="004C20D2"/>
    <w:rsid w:val="004C2312"/>
    <w:rsid w:val="004C3E70"/>
    <w:rsid w:val="004C4B62"/>
    <w:rsid w:val="004C54C9"/>
    <w:rsid w:val="004D4ABA"/>
    <w:rsid w:val="004D4F44"/>
    <w:rsid w:val="004D6025"/>
    <w:rsid w:val="004D6438"/>
    <w:rsid w:val="004E06FA"/>
    <w:rsid w:val="004E0A6E"/>
    <w:rsid w:val="004E2649"/>
    <w:rsid w:val="004F0E16"/>
    <w:rsid w:val="004F626F"/>
    <w:rsid w:val="00501399"/>
    <w:rsid w:val="00502BB6"/>
    <w:rsid w:val="0050633D"/>
    <w:rsid w:val="00507BC4"/>
    <w:rsid w:val="005128E4"/>
    <w:rsid w:val="005133DB"/>
    <w:rsid w:val="00514504"/>
    <w:rsid w:val="005169D0"/>
    <w:rsid w:val="00517478"/>
    <w:rsid w:val="00524D8A"/>
    <w:rsid w:val="00525560"/>
    <w:rsid w:val="00544C49"/>
    <w:rsid w:val="005516A1"/>
    <w:rsid w:val="0055171E"/>
    <w:rsid w:val="00551B0F"/>
    <w:rsid w:val="005559EF"/>
    <w:rsid w:val="00563557"/>
    <w:rsid w:val="0057402A"/>
    <w:rsid w:val="005771D0"/>
    <w:rsid w:val="0058083F"/>
    <w:rsid w:val="00587A5A"/>
    <w:rsid w:val="0059191A"/>
    <w:rsid w:val="005921FF"/>
    <w:rsid w:val="00596294"/>
    <w:rsid w:val="005A24ED"/>
    <w:rsid w:val="005A354C"/>
    <w:rsid w:val="005A69A8"/>
    <w:rsid w:val="005A6D0E"/>
    <w:rsid w:val="005B52B0"/>
    <w:rsid w:val="005B6806"/>
    <w:rsid w:val="005C3873"/>
    <w:rsid w:val="005C4225"/>
    <w:rsid w:val="005C5759"/>
    <w:rsid w:val="005D0BCF"/>
    <w:rsid w:val="005D38F9"/>
    <w:rsid w:val="005E38EC"/>
    <w:rsid w:val="005F0DAD"/>
    <w:rsid w:val="005F0F33"/>
    <w:rsid w:val="005F3B5D"/>
    <w:rsid w:val="005F636D"/>
    <w:rsid w:val="005F7A32"/>
    <w:rsid w:val="00600DEB"/>
    <w:rsid w:val="00604110"/>
    <w:rsid w:val="00604320"/>
    <w:rsid w:val="00627C9F"/>
    <w:rsid w:val="006311E9"/>
    <w:rsid w:val="00632354"/>
    <w:rsid w:val="00635421"/>
    <w:rsid w:val="00635562"/>
    <w:rsid w:val="00642810"/>
    <w:rsid w:val="00652333"/>
    <w:rsid w:val="0066260F"/>
    <w:rsid w:val="00670504"/>
    <w:rsid w:val="00671B1B"/>
    <w:rsid w:val="0068009E"/>
    <w:rsid w:val="00692219"/>
    <w:rsid w:val="006A0A95"/>
    <w:rsid w:val="006A17D2"/>
    <w:rsid w:val="006A73E6"/>
    <w:rsid w:val="006B046D"/>
    <w:rsid w:val="006B2D5C"/>
    <w:rsid w:val="006B457F"/>
    <w:rsid w:val="006C159A"/>
    <w:rsid w:val="006C4EB1"/>
    <w:rsid w:val="006D3A4A"/>
    <w:rsid w:val="006D5F75"/>
    <w:rsid w:val="006E0166"/>
    <w:rsid w:val="006E2FFB"/>
    <w:rsid w:val="006E503C"/>
    <w:rsid w:val="006E7247"/>
    <w:rsid w:val="006E7B34"/>
    <w:rsid w:val="006F2C64"/>
    <w:rsid w:val="00702D5C"/>
    <w:rsid w:val="0070697F"/>
    <w:rsid w:val="0072199C"/>
    <w:rsid w:val="00722C9F"/>
    <w:rsid w:val="007253B8"/>
    <w:rsid w:val="00731D78"/>
    <w:rsid w:val="0073741F"/>
    <w:rsid w:val="00747108"/>
    <w:rsid w:val="00751C21"/>
    <w:rsid w:val="0076643F"/>
    <w:rsid w:val="00777F63"/>
    <w:rsid w:val="007832E7"/>
    <w:rsid w:val="00783B98"/>
    <w:rsid w:val="00796BA9"/>
    <w:rsid w:val="007A122D"/>
    <w:rsid w:val="007A5817"/>
    <w:rsid w:val="007B05C4"/>
    <w:rsid w:val="007B60E9"/>
    <w:rsid w:val="007B6CC3"/>
    <w:rsid w:val="007B76D3"/>
    <w:rsid w:val="007C3334"/>
    <w:rsid w:val="007D2B98"/>
    <w:rsid w:val="007D42EF"/>
    <w:rsid w:val="007E21BC"/>
    <w:rsid w:val="007E5EF6"/>
    <w:rsid w:val="007E7C82"/>
    <w:rsid w:val="007F2AA1"/>
    <w:rsid w:val="007F334C"/>
    <w:rsid w:val="007F588D"/>
    <w:rsid w:val="00803F1C"/>
    <w:rsid w:val="0080600E"/>
    <w:rsid w:val="00814688"/>
    <w:rsid w:val="00817612"/>
    <w:rsid w:val="008265D3"/>
    <w:rsid w:val="008338A4"/>
    <w:rsid w:val="00833F05"/>
    <w:rsid w:val="00834D49"/>
    <w:rsid w:val="00837C45"/>
    <w:rsid w:val="00844730"/>
    <w:rsid w:val="008457C2"/>
    <w:rsid w:val="00851667"/>
    <w:rsid w:val="00857A82"/>
    <w:rsid w:val="008636F8"/>
    <w:rsid w:val="00873836"/>
    <w:rsid w:val="00874E57"/>
    <w:rsid w:val="00885737"/>
    <w:rsid w:val="00890650"/>
    <w:rsid w:val="0089082D"/>
    <w:rsid w:val="00897C60"/>
    <w:rsid w:val="00897E12"/>
    <w:rsid w:val="008A3A41"/>
    <w:rsid w:val="008A7E0F"/>
    <w:rsid w:val="008B12F5"/>
    <w:rsid w:val="008B5E10"/>
    <w:rsid w:val="008C5E2D"/>
    <w:rsid w:val="008C68D9"/>
    <w:rsid w:val="008D768D"/>
    <w:rsid w:val="008D7EF5"/>
    <w:rsid w:val="008E0C8E"/>
    <w:rsid w:val="008E3759"/>
    <w:rsid w:val="008E3BFE"/>
    <w:rsid w:val="008F1912"/>
    <w:rsid w:val="008F1C7D"/>
    <w:rsid w:val="0090270B"/>
    <w:rsid w:val="00902F82"/>
    <w:rsid w:val="009041DC"/>
    <w:rsid w:val="00913C68"/>
    <w:rsid w:val="00917B5A"/>
    <w:rsid w:val="00920A58"/>
    <w:rsid w:val="00920A8C"/>
    <w:rsid w:val="00934A2C"/>
    <w:rsid w:val="00966E5F"/>
    <w:rsid w:val="0096706E"/>
    <w:rsid w:val="009675FD"/>
    <w:rsid w:val="00974491"/>
    <w:rsid w:val="00975C4E"/>
    <w:rsid w:val="00981FBA"/>
    <w:rsid w:val="00997BC5"/>
    <w:rsid w:val="009A4F41"/>
    <w:rsid w:val="009B381B"/>
    <w:rsid w:val="009C7FAB"/>
    <w:rsid w:val="009D1753"/>
    <w:rsid w:val="009D7611"/>
    <w:rsid w:val="009E0B61"/>
    <w:rsid w:val="009E1A9E"/>
    <w:rsid w:val="009E53DE"/>
    <w:rsid w:val="00A11103"/>
    <w:rsid w:val="00A11212"/>
    <w:rsid w:val="00A11E44"/>
    <w:rsid w:val="00A238EF"/>
    <w:rsid w:val="00A251E2"/>
    <w:rsid w:val="00A30100"/>
    <w:rsid w:val="00A328B3"/>
    <w:rsid w:val="00A50FCF"/>
    <w:rsid w:val="00A528D1"/>
    <w:rsid w:val="00A56758"/>
    <w:rsid w:val="00A60FB8"/>
    <w:rsid w:val="00A610CD"/>
    <w:rsid w:val="00A64708"/>
    <w:rsid w:val="00A66C72"/>
    <w:rsid w:val="00A72803"/>
    <w:rsid w:val="00A758AA"/>
    <w:rsid w:val="00A77863"/>
    <w:rsid w:val="00A96554"/>
    <w:rsid w:val="00AA09A2"/>
    <w:rsid w:val="00AA7795"/>
    <w:rsid w:val="00AA7996"/>
    <w:rsid w:val="00AB4325"/>
    <w:rsid w:val="00AC19CB"/>
    <w:rsid w:val="00AD3688"/>
    <w:rsid w:val="00AD7FBA"/>
    <w:rsid w:val="00AE5488"/>
    <w:rsid w:val="00AE6F91"/>
    <w:rsid w:val="00AF0FD2"/>
    <w:rsid w:val="00AF5571"/>
    <w:rsid w:val="00AF7C43"/>
    <w:rsid w:val="00B00C28"/>
    <w:rsid w:val="00B01E93"/>
    <w:rsid w:val="00B0226E"/>
    <w:rsid w:val="00B07341"/>
    <w:rsid w:val="00B30539"/>
    <w:rsid w:val="00B30C04"/>
    <w:rsid w:val="00B314DB"/>
    <w:rsid w:val="00B32881"/>
    <w:rsid w:val="00B361F2"/>
    <w:rsid w:val="00B3718B"/>
    <w:rsid w:val="00B3745F"/>
    <w:rsid w:val="00B4632A"/>
    <w:rsid w:val="00B530F1"/>
    <w:rsid w:val="00B75B4E"/>
    <w:rsid w:val="00B842D9"/>
    <w:rsid w:val="00BA276C"/>
    <w:rsid w:val="00BB306F"/>
    <w:rsid w:val="00BB4C8C"/>
    <w:rsid w:val="00BC3803"/>
    <w:rsid w:val="00BD4B89"/>
    <w:rsid w:val="00BD5922"/>
    <w:rsid w:val="00BF02CB"/>
    <w:rsid w:val="00BF1CF3"/>
    <w:rsid w:val="00BF6FD8"/>
    <w:rsid w:val="00C03680"/>
    <w:rsid w:val="00C054DF"/>
    <w:rsid w:val="00C21762"/>
    <w:rsid w:val="00C21FEF"/>
    <w:rsid w:val="00C23BA4"/>
    <w:rsid w:val="00C24543"/>
    <w:rsid w:val="00C256A2"/>
    <w:rsid w:val="00C25ADB"/>
    <w:rsid w:val="00C51515"/>
    <w:rsid w:val="00C5660B"/>
    <w:rsid w:val="00C66B72"/>
    <w:rsid w:val="00C72C2F"/>
    <w:rsid w:val="00C80D5C"/>
    <w:rsid w:val="00C87AC4"/>
    <w:rsid w:val="00C9567A"/>
    <w:rsid w:val="00CA55C6"/>
    <w:rsid w:val="00CB212D"/>
    <w:rsid w:val="00CB2660"/>
    <w:rsid w:val="00CC5E90"/>
    <w:rsid w:val="00CD046C"/>
    <w:rsid w:val="00CD32BD"/>
    <w:rsid w:val="00CE076C"/>
    <w:rsid w:val="00CE5199"/>
    <w:rsid w:val="00CE66D5"/>
    <w:rsid w:val="00CF637A"/>
    <w:rsid w:val="00CF7749"/>
    <w:rsid w:val="00D00886"/>
    <w:rsid w:val="00D059DE"/>
    <w:rsid w:val="00D05ABD"/>
    <w:rsid w:val="00D12636"/>
    <w:rsid w:val="00D13FCE"/>
    <w:rsid w:val="00D2687F"/>
    <w:rsid w:val="00D306D1"/>
    <w:rsid w:val="00D30800"/>
    <w:rsid w:val="00D32844"/>
    <w:rsid w:val="00D34786"/>
    <w:rsid w:val="00D37BFC"/>
    <w:rsid w:val="00D47A8E"/>
    <w:rsid w:val="00D52D14"/>
    <w:rsid w:val="00D712D3"/>
    <w:rsid w:val="00D71422"/>
    <w:rsid w:val="00D72DC6"/>
    <w:rsid w:val="00D7558D"/>
    <w:rsid w:val="00D8048E"/>
    <w:rsid w:val="00D81D92"/>
    <w:rsid w:val="00D868C9"/>
    <w:rsid w:val="00D875BC"/>
    <w:rsid w:val="00D876F9"/>
    <w:rsid w:val="00DA3E01"/>
    <w:rsid w:val="00DA7B5F"/>
    <w:rsid w:val="00DB1D72"/>
    <w:rsid w:val="00DC11E7"/>
    <w:rsid w:val="00DC24E3"/>
    <w:rsid w:val="00DC7023"/>
    <w:rsid w:val="00DC769A"/>
    <w:rsid w:val="00DD235F"/>
    <w:rsid w:val="00DD3D86"/>
    <w:rsid w:val="00DD4AD2"/>
    <w:rsid w:val="00DF1EC4"/>
    <w:rsid w:val="00DF44BF"/>
    <w:rsid w:val="00E0340B"/>
    <w:rsid w:val="00E04A90"/>
    <w:rsid w:val="00E0551F"/>
    <w:rsid w:val="00E219C7"/>
    <w:rsid w:val="00E269B3"/>
    <w:rsid w:val="00E4118C"/>
    <w:rsid w:val="00E43157"/>
    <w:rsid w:val="00E461CE"/>
    <w:rsid w:val="00E573E4"/>
    <w:rsid w:val="00E64C3D"/>
    <w:rsid w:val="00E720CA"/>
    <w:rsid w:val="00E83955"/>
    <w:rsid w:val="00E84EB5"/>
    <w:rsid w:val="00E85662"/>
    <w:rsid w:val="00E8789F"/>
    <w:rsid w:val="00E97B71"/>
    <w:rsid w:val="00EA02A9"/>
    <w:rsid w:val="00EA3D34"/>
    <w:rsid w:val="00EA5852"/>
    <w:rsid w:val="00EB454D"/>
    <w:rsid w:val="00EC368B"/>
    <w:rsid w:val="00ED18B3"/>
    <w:rsid w:val="00ED549D"/>
    <w:rsid w:val="00ED76BE"/>
    <w:rsid w:val="00EE00E9"/>
    <w:rsid w:val="00EE3D8C"/>
    <w:rsid w:val="00EF1AAA"/>
    <w:rsid w:val="00EF535F"/>
    <w:rsid w:val="00EF619B"/>
    <w:rsid w:val="00F00B55"/>
    <w:rsid w:val="00F02AD1"/>
    <w:rsid w:val="00F17E03"/>
    <w:rsid w:val="00F2225B"/>
    <w:rsid w:val="00F253CC"/>
    <w:rsid w:val="00F34A19"/>
    <w:rsid w:val="00F37106"/>
    <w:rsid w:val="00F37C97"/>
    <w:rsid w:val="00F44E25"/>
    <w:rsid w:val="00F472F6"/>
    <w:rsid w:val="00F519CF"/>
    <w:rsid w:val="00F56BA5"/>
    <w:rsid w:val="00F60E22"/>
    <w:rsid w:val="00F7589F"/>
    <w:rsid w:val="00F81395"/>
    <w:rsid w:val="00F81BB8"/>
    <w:rsid w:val="00F83253"/>
    <w:rsid w:val="00F8697B"/>
    <w:rsid w:val="00F90C64"/>
    <w:rsid w:val="00F917D1"/>
    <w:rsid w:val="00F9653B"/>
    <w:rsid w:val="00FA1E3C"/>
    <w:rsid w:val="00FB62CF"/>
    <w:rsid w:val="00FC2157"/>
    <w:rsid w:val="00FC2817"/>
    <w:rsid w:val="00FD1D0D"/>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78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1702CC"/>
    <w:rPr>
      <w:sz w:val="16"/>
      <w:szCs w:val="16"/>
    </w:rPr>
  </w:style>
  <w:style w:type="paragraph" w:styleId="CommentText">
    <w:name w:val="annotation text"/>
    <w:basedOn w:val="Normal"/>
    <w:link w:val="CommentTextChar"/>
    <w:uiPriority w:val="99"/>
    <w:unhideWhenUsed/>
    <w:rsid w:val="001702CC"/>
    <w:rPr>
      <w:sz w:val="20"/>
      <w:szCs w:val="20"/>
    </w:rPr>
  </w:style>
  <w:style w:type="character" w:customStyle="1" w:styleId="CommentTextChar">
    <w:name w:val="Comment Text Char"/>
    <w:basedOn w:val="DefaultParagraphFont"/>
    <w:link w:val="CommentText"/>
    <w:uiPriority w:val="99"/>
    <w:rsid w:val="001702CC"/>
    <w:rPr>
      <w:lang w:val="en-US" w:eastAsia="en-US"/>
    </w:rPr>
  </w:style>
  <w:style w:type="paragraph" w:styleId="CommentSubject">
    <w:name w:val="annotation subject"/>
    <w:basedOn w:val="CommentText"/>
    <w:next w:val="CommentText"/>
    <w:link w:val="CommentSubjectChar"/>
    <w:uiPriority w:val="99"/>
    <w:semiHidden/>
    <w:unhideWhenUsed/>
    <w:rsid w:val="001702CC"/>
    <w:rPr>
      <w:b/>
      <w:bCs/>
    </w:rPr>
  </w:style>
  <w:style w:type="character" w:customStyle="1" w:styleId="CommentSubjectChar">
    <w:name w:val="Comment Subject Char"/>
    <w:basedOn w:val="CommentTextChar"/>
    <w:link w:val="CommentSubject"/>
    <w:uiPriority w:val="99"/>
    <w:semiHidden/>
    <w:rsid w:val="001702CC"/>
    <w:rPr>
      <w:b/>
      <w:bCs/>
      <w:lang w:val="en-US" w:eastAsia="en-US"/>
    </w:rPr>
  </w:style>
  <w:style w:type="character" w:styleId="UnresolvedMention">
    <w:name w:val="Unresolved Mention"/>
    <w:basedOn w:val="DefaultParagraphFont"/>
    <w:uiPriority w:val="99"/>
    <w:semiHidden/>
    <w:unhideWhenUsed/>
    <w:rsid w:val="002F5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6569">
      <w:bodyDiv w:val="1"/>
      <w:marLeft w:val="0"/>
      <w:marRight w:val="0"/>
      <w:marTop w:val="0"/>
      <w:marBottom w:val="0"/>
      <w:divBdr>
        <w:top w:val="none" w:sz="0" w:space="0" w:color="auto"/>
        <w:left w:val="none" w:sz="0" w:space="0" w:color="auto"/>
        <w:bottom w:val="none" w:sz="0" w:space="0" w:color="auto"/>
        <w:right w:val="none" w:sz="0" w:space="0" w:color="auto"/>
      </w:divBdr>
    </w:div>
    <w:div w:id="461003797">
      <w:bodyDiv w:val="1"/>
      <w:marLeft w:val="0"/>
      <w:marRight w:val="0"/>
      <w:marTop w:val="0"/>
      <w:marBottom w:val="0"/>
      <w:divBdr>
        <w:top w:val="none" w:sz="0" w:space="0" w:color="auto"/>
        <w:left w:val="none" w:sz="0" w:space="0" w:color="auto"/>
        <w:bottom w:val="none" w:sz="0" w:space="0" w:color="auto"/>
        <w:right w:val="none" w:sz="0" w:space="0" w:color="auto"/>
      </w:divBdr>
      <w:divsChild>
        <w:div w:id="503323777">
          <w:marLeft w:val="0"/>
          <w:marRight w:val="0"/>
          <w:marTop w:val="0"/>
          <w:marBottom w:val="0"/>
          <w:divBdr>
            <w:top w:val="none" w:sz="0" w:space="0" w:color="auto"/>
            <w:left w:val="none" w:sz="0" w:space="0" w:color="auto"/>
            <w:bottom w:val="none" w:sz="0" w:space="0" w:color="auto"/>
            <w:right w:val="none" w:sz="0" w:space="0" w:color="auto"/>
          </w:divBdr>
          <w:divsChild>
            <w:div w:id="19360553">
              <w:marLeft w:val="0"/>
              <w:marRight w:val="0"/>
              <w:marTop w:val="0"/>
              <w:marBottom w:val="0"/>
              <w:divBdr>
                <w:top w:val="none" w:sz="0" w:space="0" w:color="auto"/>
                <w:left w:val="none" w:sz="0" w:space="0" w:color="auto"/>
                <w:bottom w:val="none" w:sz="0" w:space="0" w:color="auto"/>
                <w:right w:val="none" w:sz="0" w:space="0" w:color="auto"/>
              </w:divBdr>
              <w:divsChild>
                <w:div w:id="2824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2788">
      <w:bodyDiv w:val="1"/>
      <w:marLeft w:val="0"/>
      <w:marRight w:val="0"/>
      <w:marTop w:val="0"/>
      <w:marBottom w:val="0"/>
      <w:divBdr>
        <w:top w:val="none" w:sz="0" w:space="0" w:color="auto"/>
        <w:left w:val="none" w:sz="0" w:space="0" w:color="auto"/>
        <w:bottom w:val="none" w:sz="0" w:space="0" w:color="auto"/>
        <w:right w:val="none" w:sz="0" w:space="0" w:color="auto"/>
      </w:divBdr>
    </w:div>
    <w:div w:id="1015376669">
      <w:bodyDiv w:val="1"/>
      <w:marLeft w:val="0"/>
      <w:marRight w:val="0"/>
      <w:marTop w:val="0"/>
      <w:marBottom w:val="0"/>
      <w:divBdr>
        <w:top w:val="none" w:sz="0" w:space="0" w:color="auto"/>
        <w:left w:val="none" w:sz="0" w:space="0" w:color="auto"/>
        <w:bottom w:val="none" w:sz="0" w:space="0" w:color="auto"/>
        <w:right w:val="none" w:sz="0" w:space="0" w:color="auto"/>
      </w:divBdr>
    </w:div>
    <w:div w:id="1039745864">
      <w:bodyDiv w:val="1"/>
      <w:marLeft w:val="0"/>
      <w:marRight w:val="0"/>
      <w:marTop w:val="0"/>
      <w:marBottom w:val="0"/>
      <w:divBdr>
        <w:top w:val="none" w:sz="0" w:space="0" w:color="auto"/>
        <w:left w:val="none" w:sz="0" w:space="0" w:color="auto"/>
        <w:bottom w:val="none" w:sz="0" w:space="0" w:color="auto"/>
        <w:right w:val="none" w:sz="0" w:space="0" w:color="auto"/>
      </w:divBdr>
      <w:divsChild>
        <w:div w:id="993414795">
          <w:marLeft w:val="0"/>
          <w:marRight w:val="0"/>
          <w:marTop w:val="0"/>
          <w:marBottom w:val="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60861093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19846101">
      <w:bodyDiv w:val="1"/>
      <w:marLeft w:val="0"/>
      <w:marRight w:val="0"/>
      <w:marTop w:val="0"/>
      <w:marBottom w:val="0"/>
      <w:divBdr>
        <w:top w:val="none" w:sz="0" w:space="0" w:color="auto"/>
        <w:left w:val="none" w:sz="0" w:space="0" w:color="auto"/>
        <w:bottom w:val="none" w:sz="0" w:space="0" w:color="auto"/>
        <w:right w:val="none" w:sz="0" w:space="0" w:color="auto"/>
      </w:divBdr>
      <w:divsChild>
        <w:div w:id="1412040988">
          <w:marLeft w:val="0"/>
          <w:marRight w:val="0"/>
          <w:marTop w:val="0"/>
          <w:marBottom w:val="0"/>
          <w:divBdr>
            <w:top w:val="none" w:sz="0" w:space="0" w:color="auto"/>
            <w:left w:val="none" w:sz="0" w:space="0" w:color="auto"/>
            <w:bottom w:val="none" w:sz="0" w:space="0" w:color="auto"/>
            <w:right w:val="none" w:sz="0" w:space="0" w:color="auto"/>
          </w:divBdr>
        </w:div>
      </w:divsChild>
    </w:div>
    <w:div w:id="2109040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ogafin.gov.co/" TargetMode="External"/><Relationship Id="rId7" Type="http://schemas.openxmlformats.org/officeDocument/2006/relationships/hyperlink" Target="https://dolar.wilkinsonpc.com.co/" TargetMode="External"/><Relationship Id="rId2" Type="http://schemas.openxmlformats.org/officeDocument/2006/relationships/hyperlink" Target="https://dolar.wilkinsonpc.com.co/" TargetMode="External"/><Relationship Id="rId1" Type="http://schemas.openxmlformats.org/officeDocument/2006/relationships/hyperlink" Target="https://www.dolar-colombia.com/" TargetMode="External"/><Relationship Id="rId6" Type="http://schemas.openxmlformats.org/officeDocument/2006/relationships/hyperlink" Target="https://www.dolar-colombia.com/" TargetMode="External"/><Relationship Id="rId5" Type="http://schemas.openxmlformats.org/officeDocument/2006/relationships/hyperlink" Target="https://dolar.wilkinsonpc.com.co/" TargetMode="External"/><Relationship Id="rId4" Type="http://schemas.openxmlformats.org/officeDocument/2006/relationships/hyperlink" Target="https://www.dolar-colomb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3103"/>
    <w:rsid w:val="000703A6"/>
    <w:rsid w:val="000A0912"/>
    <w:rsid w:val="00200821"/>
    <w:rsid w:val="002155D8"/>
    <w:rsid w:val="0025245B"/>
    <w:rsid w:val="002963E8"/>
    <w:rsid w:val="002A3923"/>
    <w:rsid w:val="00394049"/>
    <w:rsid w:val="003D0350"/>
    <w:rsid w:val="00471C94"/>
    <w:rsid w:val="00476387"/>
    <w:rsid w:val="004B5BBB"/>
    <w:rsid w:val="004F2DF8"/>
    <w:rsid w:val="0060752E"/>
    <w:rsid w:val="006F24A1"/>
    <w:rsid w:val="007B635D"/>
    <w:rsid w:val="007E3AAF"/>
    <w:rsid w:val="008264FF"/>
    <w:rsid w:val="0099670F"/>
    <w:rsid w:val="009A261B"/>
    <w:rsid w:val="009E42B2"/>
    <w:rsid w:val="00AA2E17"/>
    <w:rsid w:val="00AC15A4"/>
    <w:rsid w:val="00B0336C"/>
    <w:rsid w:val="00C17861"/>
    <w:rsid w:val="00D241E9"/>
    <w:rsid w:val="00D6600F"/>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3044</Words>
  <Characters>17354</Characters>
  <Application>Microsoft Office Word</Application>
  <DocSecurity>0</DocSecurity>
  <Lines>144</Lines>
  <Paragraphs>40</Paragraphs>
  <ScaleCrop>false</ScaleCrop>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2022-09-29T14:19:00Z</dcterms:created>
  <dcterms:modified xsi:type="dcterms:W3CDTF">2022-09-29T14:19:00Z</dcterms:modified>
</cp:coreProperties>
</file>